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1F" w:rsidRPr="00C055CE" w:rsidRDefault="008E7D57" w:rsidP="00C055CE">
      <w:pPr>
        <w:pStyle w:val="NoSpacing"/>
        <w:jc w:val="center"/>
        <w:rPr>
          <w:b/>
          <w:sz w:val="28"/>
          <w:lang w:val="ka-GE"/>
        </w:rPr>
      </w:pPr>
      <w:r w:rsidRPr="00C055CE">
        <w:rPr>
          <w:rFonts w:ascii="Sylfaen" w:hAnsi="Sylfaen" w:cs="Sylfaen"/>
          <w:b/>
          <w:sz w:val="28"/>
          <w:lang w:val="ka-GE"/>
        </w:rPr>
        <w:t>საკვერცხისა</w:t>
      </w:r>
      <w:r w:rsidRPr="00C055CE">
        <w:rPr>
          <w:b/>
          <w:sz w:val="28"/>
          <w:lang w:val="ka-GE"/>
        </w:rPr>
        <w:t xml:space="preserve"> </w:t>
      </w:r>
      <w:r w:rsidRPr="00C055CE">
        <w:rPr>
          <w:rFonts w:ascii="Sylfaen" w:hAnsi="Sylfaen" w:cs="Sylfaen"/>
          <w:b/>
          <w:sz w:val="28"/>
          <w:lang w:val="ka-GE"/>
        </w:rPr>
        <w:t>და</w:t>
      </w:r>
      <w:r w:rsidRPr="00C055CE">
        <w:rPr>
          <w:b/>
          <w:sz w:val="28"/>
          <w:lang w:val="ka-GE"/>
        </w:rPr>
        <w:t xml:space="preserve"> </w:t>
      </w:r>
      <w:r w:rsidR="00C055CE" w:rsidRPr="00C055CE">
        <w:rPr>
          <w:rFonts w:ascii="Sylfaen" w:hAnsi="Sylfaen" w:cs="Sylfaen"/>
          <w:b/>
          <w:sz w:val="28"/>
          <w:lang w:val="ka-GE"/>
        </w:rPr>
        <w:t>ძუძუს</w:t>
      </w:r>
      <w:r w:rsidRPr="00C055CE">
        <w:rPr>
          <w:b/>
          <w:sz w:val="28"/>
          <w:lang w:val="ka-GE"/>
        </w:rPr>
        <w:t xml:space="preserve"> </w:t>
      </w:r>
      <w:r w:rsidRPr="00C055CE">
        <w:rPr>
          <w:rFonts w:ascii="Sylfaen" w:hAnsi="Sylfaen" w:cs="Sylfaen"/>
          <w:b/>
          <w:sz w:val="28"/>
          <w:lang w:val="ka-GE"/>
        </w:rPr>
        <w:t>მემკვიდრეობითი</w:t>
      </w:r>
      <w:r w:rsidRPr="00C055CE">
        <w:rPr>
          <w:b/>
          <w:sz w:val="28"/>
          <w:lang w:val="ka-GE"/>
        </w:rPr>
        <w:t xml:space="preserve"> </w:t>
      </w:r>
      <w:r w:rsidRPr="00C055CE">
        <w:rPr>
          <w:rFonts w:ascii="Sylfaen" w:hAnsi="Sylfaen" w:cs="Sylfaen"/>
          <w:b/>
          <w:sz w:val="28"/>
          <w:lang w:val="ka-GE"/>
        </w:rPr>
        <w:t>სიმსივნეები</w:t>
      </w:r>
    </w:p>
    <w:p w:rsidR="008E7D57" w:rsidRPr="00C055CE" w:rsidRDefault="00C055CE" w:rsidP="00C055CE">
      <w:pPr>
        <w:pStyle w:val="NoSpacing"/>
        <w:jc w:val="center"/>
        <w:rPr>
          <w:b/>
          <w:sz w:val="28"/>
          <w:lang w:val="ka-GE"/>
        </w:rPr>
      </w:pPr>
      <w:r w:rsidRPr="00C055CE">
        <w:rPr>
          <w:b/>
          <w:sz w:val="28"/>
        </w:rPr>
        <w:t>BRCA1</w:t>
      </w:r>
      <w:r w:rsidRPr="00C055CE">
        <w:rPr>
          <w:b/>
          <w:sz w:val="28"/>
          <w:lang w:val="ka-GE"/>
        </w:rPr>
        <w:t xml:space="preserve"> </w:t>
      </w:r>
      <w:r w:rsidRPr="00C055CE">
        <w:rPr>
          <w:rFonts w:ascii="Sylfaen" w:hAnsi="Sylfaen" w:cs="Sylfaen"/>
          <w:b/>
          <w:sz w:val="28"/>
          <w:lang w:val="ka-GE"/>
        </w:rPr>
        <w:t>და</w:t>
      </w:r>
      <w:r w:rsidRPr="00C055CE">
        <w:rPr>
          <w:b/>
          <w:sz w:val="28"/>
          <w:lang w:val="ka-GE"/>
        </w:rPr>
        <w:t xml:space="preserve"> </w:t>
      </w:r>
      <w:r w:rsidR="008E7D57" w:rsidRPr="00C055CE">
        <w:rPr>
          <w:b/>
          <w:sz w:val="28"/>
        </w:rPr>
        <w:t>BRCA2</w:t>
      </w:r>
      <w:r w:rsidR="008E7D57" w:rsidRPr="00C055CE">
        <w:rPr>
          <w:b/>
          <w:sz w:val="28"/>
          <w:lang w:val="ka-GE"/>
        </w:rPr>
        <w:t xml:space="preserve"> </w:t>
      </w:r>
      <w:r w:rsidRPr="00C055CE">
        <w:rPr>
          <w:rFonts w:ascii="Sylfaen" w:hAnsi="Sylfaen" w:cs="Sylfaen"/>
          <w:b/>
          <w:sz w:val="28"/>
          <w:lang w:val="ka-GE"/>
        </w:rPr>
        <w:t>გენების</w:t>
      </w:r>
      <w:r w:rsidRPr="00C055CE">
        <w:rPr>
          <w:b/>
          <w:sz w:val="28"/>
          <w:lang w:val="ka-GE"/>
        </w:rPr>
        <w:t xml:space="preserve"> </w:t>
      </w:r>
      <w:r w:rsidRPr="00C055CE">
        <w:rPr>
          <w:rFonts w:ascii="Sylfaen" w:hAnsi="Sylfaen" w:cs="Sylfaen"/>
          <w:b/>
          <w:sz w:val="28"/>
          <w:lang w:val="ka-GE"/>
        </w:rPr>
        <w:t>მუტაცია</w:t>
      </w:r>
    </w:p>
    <w:p w:rsidR="00C055CE" w:rsidRPr="00C055CE" w:rsidRDefault="008E7D57" w:rsidP="00C055CE">
      <w:pPr>
        <w:pStyle w:val="NoSpacing"/>
        <w:jc w:val="center"/>
        <w:rPr>
          <w:b/>
          <w:sz w:val="28"/>
          <w:lang w:val="ka-GE"/>
        </w:rPr>
      </w:pPr>
      <w:r w:rsidRPr="00C055CE">
        <w:rPr>
          <w:rFonts w:ascii="Sylfaen" w:hAnsi="Sylfaen" w:cs="Sylfaen"/>
          <w:b/>
          <w:sz w:val="28"/>
          <w:lang w:val="ka-GE"/>
        </w:rPr>
        <w:t>ეროვნული</w:t>
      </w:r>
      <w:r w:rsidRPr="00C055CE">
        <w:rPr>
          <w:b/>
          <w:sz w:val="28"/>
          <w:lang w:val="ka-GE"/>
        </w:rPr>
        <w:t xml:space="preserve"> </w:t>
      </w:r>
      <w:r w:rsidRPr="00C055CE">
        <w:rPr>
          <w:rFonts w:ascii="Sylfaen" w:hAnsi="Sylfaen" w:cs="Sylfaen"/>
          <w:b/>
          <w:sz w:val="28"/>
          <w:lang w:val="ka-GE"/>
        </w:rPr>
        <w:t>სკრინინ</w:t>
      </w:r>
      <w:r w:rsidR="00C055CE" w:rsidRPr="00C055CE">
        <w:rPr>
          <w:rFonts w:ascii="Sylfaen" w:hAnsi="Sylfaen" w:cs="Sylfaen"/>
          <w:b/>
          <w:sz w:val="28"/>
          <w:lang w:val="ka-GE"/>
        </w:rPr>
        <w:t>გ</w:t>
      </w:r>
      <w:r w:rsidRPr="00C055CE">
        <w:rPr>
          <w:b/>
          <w:sz w:val="28"/>
          <w:lang w:val="ka-GE"/>
        </w:rPr>
        <w:t xml:space="preserve"> </w:t>
      </w:r>
      <w:r w:rsidR="00C055CE" w:rsidRPr="00C055CE">
        <w:rPr>
          <w:rFonts w:ascii="Sylfaen" w:hAnsi="Sylfaen" w:cs="Sylfaen"/>
          <w:b/>
          <w:sz w:val="28"/>
          <w:lang w:val="ka-GE"/>
        </w:rPr>
        <w:t>პროექტი</w:t>
      </w:r>
    </w:p>
    <w:p w:rsidR="008E7D57" w:rsidRDefault="008E7D57" w:rsidP="008E7D57">
      <w:pPr>
        <w:jc w:val="center"/>
        <w:rPr>
          <w:rFonts w:ascii="Sylfaen" w:hAnsi="Sylfaen"/>
          <w:b/>
          <w:sz w:val="28"/>
          <w:lang w:val="ka-GE"/>
        </w:rPr>
      </w:pPr>
    </w:p>
    <w:p w:rsidR="008E7D57" w:rsidRPr="005B631F" w:rsidRDefault="00644D9F" w:rsidP="008E7D57">
      <w:pPr>
        <w:jc w:val="both"/>
        <w:rPr>
          <w:rFonts w:ascii="Sylfaen" w:hAnsi="Sylfaen"/>
          <w:b/>
          <w:sz w:val="28"/>
          <w:lang w:val="ka-GE"/>
        </w:rPr>
      </w:pPr>
      <w:r>
        <w:rPr>
          <w:rFonts w:ascii="Sylfaen" w:hAnsi="Sylfaen"/>
          <w:b/>
          <w:sz w:val="28"/>
          <w:lang w:val="ka-GE"/>
        </w:rPr>
        <w:t>პრობლემის აღწერა</w:t>
      </w:r>
      <w:r w:rsidR="009D0AA4" w:rsidRPr="005B631F">
        <w:rPr>
          <w:rFonts w:ascii="Sylfaen" w:hAnsi="Sylfaen"/>
          <w:b/>
          <w:sz w:val="28"/>
          <w:lang w:val="ka-GE"/>
        </w:rPr>
        <w:t>:</w:t>
      </w:r>
    </w:p>
    <w:p w:rsidR="00644D9F" w:rsidRDefault="00FE3E7E" w:rsidP="00644D9F">
      <w:pPr>
        <w:jc w:val="both"/>
        <w:rPr>
          <w:rFonts w:ascii="Sylfaen" w:hAnsi="Sylfaen"/>
          <w:lang w:val="ka-GE"/>
        </w:rPr>
      </w:pPr>
      <w:r w:rsidRPr="002F0AF2">
        <w:rPr>
          <w:rFonts w:ascii="Sylfaen" w:hAnsi="Sylfaen"/>
          <w:noProof/>
          <w:lang w:val="ka-GE"/>
        </w:rPr>
        <w:t>Global Health Observatory</w:t>
      </w:r>
      <w:r>
        <w:rPr>
          <w:rFonts w:ascii="Sylfaen" w:hAnsi="Sylfaen"/>
          <w:lang w:val="ka-GE"/>
        </w:rPr>
        <w:t xml:space="preserve"> 2015 წლის მონაცემებით </w:t>
      </w:r>
      <w:r w:rsidR="00644D9F">
        <w:rPr>
          <w:rFonts w:ascii="Sylfaen" w:hAnsi="Sylfaen"/>
          <w:lang w:val="ka-GE"/>
        </w:rPr>
        <w:t>მსოფლიოში არაგადამდები დაავადებებით გამოწვეული სიკვდილიანობის</w:t>
      </w:r>
      <w:r w:rsidR="001113B1">
        <w:rPr>
          <w:rFonts w:ascii="Sylfaen" w:hAnsi="Sylfaen"/>
          <w:lang w:val="ka-GE"/>
        </w:rPr>
        <w:t xml:space="preserve"> მიხედვით სიმსივნეები არის მე</w:t>
      </w:r>
      <w:r>
        <w:rPr>
          <w:rFonts w:ascii="Sylfaen" w:hAnsi="Sylfaen"/>
          <w:lang w:val="ka-GE"/>
        </w:rPr>
        <w:t>ორე</w:t>
      </w:r>
      <w:r w:rsidR="001113B1">
        <w:rPr>
          <w:rFonts w:ascii="Sylfaen" w:hAnsi="Sylfaen"/>
          <w:lang w:val="ka-GE"/>
        </w:rPr>
        <w:t xml:space="preserve"> </w:t>
      </w:r>
      <w:r>
        <w:rPr>
          <w:rFonts w:ascii="Sylfaen" w:hAnsi="Sylfaen"/>
          <w:lang w:val="ka-GE"/>
        </w:rPr>
        <w:t>ადგილზე</w:t>
      </w:r>
      <w:r w:rsidR="001113B1">
        <w:rPr>
          <w:rFonts w:ascii="Sylfaen" w:hAnsi="Sylfaen"/>
          <w:lang w:val="ka-GE"/>
        </w:rPr>
        <w:t xml:space="preserve"> </w:t>
      </w:r>
      <w:r>
        <w:rPr>
          <w:rFonts w:ascii="Sylfaen" w:hAnsi="Sylfaen"/>
          <w:lang w:val="ka-GE"/>
        </w:rPr>
        <w:t>(</w:t>
      </w:r>
      <w:r w:rsidR="00644D9F" w:rsidRPr="00644D9F">
        <w:rPr>
          <w:rFonts w:ascii="Sylfaen" w:hAnsi="Sylfaen"/>
          <w:lang w:val="ka-GE"/>
        </w:rPr>
        <w:t xml:space="preserve">8.8 </w:t>
      </w:r>
      <w:r w:rsidR="00644D9F">
        <w:rPr>
          <w:rFonts w:ascii="Sylfaen" w:hAnsi="Sylfaen"/>
          <w:lang w:val="ka-GE"/>
        </w:rPr>
        <w:t>მილიონი</w:t>
      </w:r>
      <w:r w:rsidR="001113B1">
        <w:rPr>
          <w:rFonts w:ascii="Sylfaen" w:hAnsi="Sylfaen"/>
          <w:lang w:val="ka-GE"/>
        </w:rPr>
        <w:t>თ</w:t>
      </w:r>
      <w:r>
        <w:rPr>
          <w:rFonts w:ascii="Sylfaen" w:hAnsi="Sylfaen"/>
          <w:lang w:val="ka-GE"/>
        </w:rPr>
        <w:t xml:space="preserve"> </w:t>
      </w:r>
      <w:r w:rsidR="00644D9F">
        <w:rPr>
          <w:rFonts w:ascii="Sylfaen" w:hAnsi="Sylfaen"/>
          <w:lang w:val="ka-GE"/>
        </w:rPr>
        <w:t>ანუ</w:t>
      </w:r>
      <w:r w:rsidR="00644D9F" w:rsidRPr="00644D9F">
        <w:rPr>
          <w:rFonts w:ascii="Sylfaen" w:hAnsi="Sylfaen"/>
          <w:lang w:val="ka-GE"/>
        </w:rPr>
        <w:t xml:space="preserve"> 22%</w:t>
      </w:r>
      <w:r>
        <w:rPr>
          <w:rFonts w:ascii="Sylfaen" w:hAnsi="Sylfaen"/>
          <w:lang w:val="ka-GE"/>
        </w:rPr>
        <w:t>)</w:t>
      </w:r>
      <w:r w:rsidR="001113B1">
        <w:rPr>
          <w:rFonts w:ascii="Sylfaen" w:hAnsi="Sylfaen"/>
          <w:lang w:val="ka-GE"/>
        </w:rPr>
        <w:t>.</w:t>
      </w:r>
      <w:sdt>
        <w:sdtPr>
          <w:rPr>
            <w:rFonts w:ascii="Sylfaen" w:hAnsi="Sylfaen"/>
            <w:lang w:val="ka-GE"/>
          </w:rPr>
          <w:id w:val="2628606"/>
          <w:citation/>
        </w:sdtPr>
        <w:sdtEndPr/>
        <w:sdtContent>
          <w:r w:rsidR="007B0ED7">
            <w:rPr>
              <w:rFonts w:ascii="Sylfaen" w:hAnsi="Sylfaen"/>
              <w:lang w:val="ka-GE"/>
            </w:rPr>
            <w:fldChar w:fldCharType="begin"/>
          </w:r>
          <w:r w:rsidR="00644D9F" w:rsidRPr="00644D9F">
            <w:rPr>
              <w:rFonts w:ascii="Sylfaen" w:hAnsi="Sylfaen"/>
              <w:lang w:val="ka-GE"/>
            </w:rPr>
            <w:instrText xml:space="preserve"> CITATION Glo15 \l 1033 </w:instrText>
          </w:r>
          <w:r w:rsidR="007B0ED7">
            <w:rPr>
              <w:rFonts w:ascii="Sylfaen" w:hAnsi="Sylfaen"/>
              <w:lang w:val="ka-GE"/>
            </w:rPr>
            <w:fldChar w:fldCharType="separate"/>
          </w:r>
          <w:r w:rsidR="002F0AF2">
            <w:rPr>
              <w:rFonts w:ascii="Sylfaen" w:hAnsi="Sylfaen"/>
              <w:noProof/>
              <w:lang w:val="ka-GE"/>
            </w:rPr>
            <w:t xml:space="preserve"> </w:t>
          </w:r>
          <w:r w:rsidR="002F0AF2" w:rsidRPr="002F0AF2">
            <w:rPr>
              <w:rFonts w:ascii="Sylfaen" w:hAnsi="Sylfaen"/>
              <w:noProof/>
              <w:lang w:val="ka-GE"/>
            </w:rPr>
            <w:t>(Global Health Observatory (GHO) data, 2015)</w:t>
          </w:r>
          <w:r w:rsidR="007B0ED7">
            <w:rPr>
              <w:rFonts w:ascii="Sylfaen" w:hAnsi="Sylfaen"/>
              <w:lang w:val="ka-GE"/>
            </w:rPr>
            <w:fldChar w:fldCharType="end"/>
          </w:r>
        </w:sdtContent>
      </w:sdt>
      <w:r w:rsidR="001113B1">
        <w:rPr>
          <w:rFonts w:ascii="Sylfaen" w:hAnsi="Sylfaen"/>
          <w:lang w:val="ka-GE"/>
        </w:rPr>
        <w:t xml:space="preserve">. </w:t>
      </w:r>
      <w:r w:rsidR="00644D9F" w:rsidRPr="00644D9F">
        <w:rPr>
          <w:rFonts w:ascii="Sylfaen" w:hAnsi="Sylfaen"/>
          <w:lang w:val="ka-GE"/>
        </w:rPr>
        <w:t>ჯანმრთელობის მსოფლიო ორგანიზაციის 201</w:t>
      </w:r>
      <w:r w:rsidR="00644D9F">
        <w:rPr>
          <w:rFonts w:ascii="Sylfaen" w:hAnsi="Sylfaen"/>
          <w:lang w:val="ka-GE"/>
        </w:rPr>
        <w:t>4</w:t>
      </w:r>
      <w:r w:rsidR="00644D9F" w:rsidRPr="00644D9F">
        <w:rPr>
          <w:rFonts w:ascii="Sylfaen" w:hAnsi="Sylfaen"/>
          <w:lang w:val="ka-GE"/>
        </w:rPr>
        <w:t xml:space="preserve"> წლის ანგარიშის მიხედვით, საქართველოში სიკვდილიანობის 97% გამოწვეულია არაგადამდები </w:t>
      </w:r>
      <w:r>
        <w:rPr>
          <w:rFonts w:ascii="Sylfaen" w:hAnsi="Sylfaen"/>
          <w:lang w:val="ka-GE"/>
        </w:rPr>
        <w:t>დაავადებებით</w:t>
      </w:r>
      <w:r w:rsidR="00644D9F" w:rsidRPr="00644D9F">
        <w:rPr>
          <w:rFonts w:ascii="Sylfaen" w:hAnsi="Sylfaen"/>
          <w:lang w:val="ka-GE"/>
        </w:rPr>
        <w:t xml:space="preserve"> და ტრავმით. ამასთან, საერთო სიკვდილიანობის</w:t>
      </w:r>
      <w:r w:rsidR="001113B1">
        <w:rPr>
          <w:rFonts w:ascii="Sylfaen" w:hAnsi="Sylfaen"/>
          <w:lang w:val="ka-GE"/>
        </w:rPr>
        <w:t xml:space="preserve"> 14% მოდის </w:t>
      </w:r>
      <w:r w:rsidR="00644D9F" w:rsidRPr="00644D9F">
        <w:rPr>
          <w:rFonts w:ascii="Sylfaen" w:hAnsi="Sylfaen"/>
          <w:lang w:val="ka-GE"/>
        </w:rPr>
        <w:t>ონკოლოგიურ დაავადებებზე</w:t>
      </w:r>
      <w:r w:rsidR="001113B1">
        <w:rPr>
          <w:rFonts w:ascii="Sylfaen" w:hAnsi="Sylfaen"/>
          <w:lang w:val="ka-GE"/>
        </w:rPr>
        <w:t>.</w:t>
      </w:r>
    </w:p>
    <w:p w:rsidR="00C5408A" w:rsidRDefault="00644D9F" w:rsidP="00644D9F">
      <w:pPr>
        <w:jc w:val="both"/>
        <w:rPr>
          <w:rFonts w:ascii="Sylfaen" w:hAnsi="Sylfaen"/>
          <w:lang w:val="ka-GE"/>
        </w:rPr>
      </w:pPr>
      <w:r w:rsidRPr="00644D9F">
        <w:rPr>
          <w:rFonts w:ascii="Sylfaen" w:hAnsi="Sylfaen"/>
          <w:lang w:val="ka-GE"/>
        </w:rPr>
        <w:t>ონკოლოგიურ დაავადებათა ეპიდზედამხედველობის გაუმჯობესების მიზნით საქართველოში 2015 წლის 1 იანვრიდან ქვეყნის მასშტაბით ამოქმედდა კიბოს პოპულაციური რეგისტრი. რეგისტრის მონაცემებით, 2015 წელს საქართველოში რეგისტრირებულია ყველა ლოკალიზაციის კიბოს</w:t>
      </w:r>
      <w:r>
        <w:rPr>
          <w:rFonts w:ascii="Sylfaen" w:hAnsi="Sylfaen"/>
          <w:lang w:val="ka-GE"/>
        </w:rPr>
        <w:t xml:space="preserve"> 10</w:t>
      </w:r>
      <w:r w:rsidRPr="00F81606">
        <w:rPr>
          <w:rFonts w:ascii="Sylfaen" w:hAnsi="Sylfaen"/>
          <w:lang w:val="ka-GE"/>
        </w:rPr>
        <w:t>,</w:t>
      </w:r>
      <w:r w:rsidRPr="00644D9F">
        <w:rPr>
          <w:rFonts w:ascii="Sylfaen" w:hAnsi="Sylfaen"/>
          <w:lang w:val="ka-GE"/>
        </w:rPr>
        <w:t>506 ახალი შემთხვევა (ინციდენტობის მაჩვენებელი</w:t>
      </w:r>
      <w:r>
        <w:rPr>
          <w:rFonts w:ascii="Sylfaen" w:hAnsi="Sylfaen"/>
          <w:lang w:val="ka-GE"/>
        </w:rPr>
        <w:t xml:space="preserve"> 100</w:t>
      </w:r>
      <w:r w:rsidRPr="00F81606">
        <w:rPr>
          <w:rFonts w:ascii="Sylfaen" w:hAnsi="Sylfaen"/>
          <w:lang w:val="ka-GE"/>
        </w:rPr>
        <w:t>,</w:t>
      </w:r>
      <w:r w:rsidRPr="00644D9F">
        <w:rPr>
          <w:rFonts w:ascii="Sylfaen" w:hAnsi="Sylfaen"/>
          <w:lang w:val="ka-GE"/>
        </w:rPr>
        <w:t>000 მოსახლეზე</w:t>
      </w:r>
      <w:r w:rsidR="00DF76A3">
        <w:rPr>
          <w:rFonts w:ascii="Sylfaen" w:hAnsi="Sylfaen"/>
          <w:lang w:val="ka-GE"/>
        </w:rPr>
        <w:t xml:space="preserve"> - </w:t>
      </w:r>
      <w:r w:rsidR="00DF76A3" w:rsidRPr="004C4DF1">
        <w:rPr>
          <w:rFonts w:ascii="Sylfaen" w:hAnsi="Sylfaen"/>
          <w:lang w:val="ka-GE"/>
        </w:rPr>
        <w:t>293.4</w:t>
      </w:r>
      <w:r w:rsidR="00DF76A3">
        <w:rPr>
          <w:rFonts w:ascii="Sylfaen" w:hAnsi="Sylfaen"/>
          <w:lang w:val="ka-GE"/>
        </w:rPr>
        <w:t>)</w:t>
      </w:r>
      <w:r w:rsidRPr="00644D9F">
        <w:rPr>
          <w:rFonts w:ascii="Sylfaen" w:hAnsi="Sylfaen"/>
          <w:lang w:val="ka-GE"/>
        </w:rPr>
        <w:t xml:space="preserve"> in situ სიმსივნეების ჩათვლით. 2016 წელს აღირიცხა კიბოს 10</w:t>
      </w:r>
      <w:r w:rsidRPr="00F81606">
        <w:rPr>
          <w:rFonts w:ascii="Sylfaen" w:hAnsi="Sylfaen"/>
          <w:lang w:val="ka-GE"/>
        </w:rPr>
        <w:t>,</w:t>
      </w:r>
      <w:r w:rsidRPr="00644D9F">
        <w:rPr>
          <w:rFonts w:ascii="Sylfaen" w:hAnsi="Sylfaen"/>
          <w:lang w:val="ka-GE"/>
        </w:rPr>
        <w:t>097 ახალი შემთხვევა (ინციდენტობის მაჩვენებელი</w:t>
      </w:r>
      <w:r>
        <w:rPr>
          <w:rFonts w:ascii="Sylfaen" w:hAnsi="Sylfaen"/>
          <w:lang w:val="ka-GE"/>
        </w:rPr>
        <w:t xml:space="preserve"> 100</w:t>
      </w:r>
      <w:r w:rsidRPr="00F81606">
        <w:rPr>
          <w:rFonts w:ascii="Sylfaen" w:hAnsi="Sylfaen"/>
          <w:lang w:val="ka-GE"/>
        </w:rPr>
        <w:t>,</w:t>
      </w:r>
      <w:r w:rsidRPr="00644D9F">
        <w:rPr>
          <w:rFonts w:ascii="Sylfaen" w:hAnsi="Sylfaen"/>
          <w:lang w:val="ka-GE"/>
        </w:rPr>
        <w:t>000 მოსახლეზე - 271.5)</w:t>
      </w:r>
      <w:r w:rsidRPr="00F81606">
        <w:rPr>
          <w:rFonts w:ascii="Sylfaen" w:hAnsi="Sylfaen"/>
          <w:lang w:val="ka-GE"/>
        </w:rPr>
        <w:t>.</w:t>
      </w:r>
      <w:r w:rsidR="00C5408A">
        <w:rPr>
          <w:rFonts w:ascii="Sylfaen" w:hAnsi="Sylfaen"/>
          <w:lang w:val="ka-GE"/>
        </w:rPr>
        <w:t xml:space="preserve"> </w:t>
      </w:r>
      <w:r w:rsidR="00C5408A" w:rsidRPr="00C5408A">
        <w:rPr>
          <w:rFonts w:ascii="Sylfaen" w:hAnsi="Sylfaen"/>
          <w:lang w:val="ka-GE"/>
        </w:rPr>
        <w:t>ქალებში რეგისტრირებული ავთვისებიანი ახალწარმონაქმნების 5 ყველაზე მაღალი ავადობის მქონე ლოკალიზაცია</w:t>
      </w:r>
      <w:r w:rsidR="00C5408A">
        <w:rPr>
          <w:rFonts w:ascii="Sylfaen" w:hAnsi="Sylfaen"/>
          <w:lang w:val="ka-GE"/>
        </w:rPr>
        <w:t xml:space="preserve"> </w:t>
      </w:r>
      <w:r w:rsidR="00C5408A" w:rsidRPr="00C5408A">
        <w:rPr>
          <w:rFonts w:ascii="Sylfaen" w:hAnsi="Sylfaen"/>
          <w:lang w:val="ka-GE"/>
        </w:rPr>
        <w:t>2016</w:t>
      </w:r>
      <w:r w:rsidR="00C5408A">
        <w:rPr>
          <w:rFonts w:ascii="Sylfaen" w:hAnsi="Sylfaen"/>
          <w:lang w:val="ka-GE"/>
        </w:rPr>
        <w:t xml:space="preserve"> წლის მიხედვით</w:t>
      </w:r>
      <w:r w:rsidR="001113B1">
        <w:rPr>
          <w:rFonts w:ascii="Sylfaen" w:hAnsi="Sylfaen"/>
          <w:lang w:val="ka-GE"/>
        </w:rPr>
        <w:t xml:space="preserve"> არის შემდეგნაირი</w:t>
      </w:r>
      <w:r w:rsidR="00C5408A">
        <w:rPr>
          <w:rFonts w:ascii="Sylfaen" w:hAnsi="Sylfaen"/>
          <w:lang w:val="ka-GE"/>
        </w:rPr>
        <w:t>:</w:t>
      </w:r>
    </w:p>
    <w:tbl>
      <w:tblPr>
        <w:tblStyle w:val="LightList1"/>
        <w:tblW w:w="0" w:type="auto"/>
        <w:tblLook w:val="0020" w:firstRow="1" w:lastRow="0" w:firstColumn="0" w:lastColumn="0" w:noHBand="0" w:noVBand="0"/>
      </w:tblPr>
      <w:tblGrid>
        <w:gridCol w:w="3192"/>
        <w:gridCol w:w="3192"/>
        <w:gridCol w:w="3192"/>
      </w:tblGrid>
      <w:tr w:rsidR="00C5408A" w:rsidRPr="00AA0D0A" w:rsidTr="00AA0D0A">
        <w:trPr>
          <w:cnfStyle w:val="100000000000" w:firstRow="1" w:lastRow="0" w:firstColumn="0" w:lastColumn="0" w:oddVBand="0" w:evenVBand="0" w:oddHBand="0" w:evenHBand="0" w:firstRowFirstColumn="0" w:firstRowLastColumn="0" w:lastRowFirstColumn="0" w:lastRowLastColumn="0"/>
          <w:trHeight w:val="1600"/>
        </w:trPr>
        <w:tc>
          <w:tcPr>
            <w:cnfStyle w:val="000010000000" w:firstRow="0" w:lastRow="0" w:firstColumn="0" w:lastColumn="0" w:oddVBand="1" w:evenVBand="0" w:oddHBand="0" w:evenHBand="0" w:firstRowFirstColumn="0" w:firstRowLastColumn="0" w:lastRowFirstColumn="0" w:lastRowLastColumn="0"/>
            <w:tcW w:w="3192" w:type="dxa"/>
            <w:tcBorders>
              <w:right w:val="single" w:sz="4" w:space="0" w:color="FFFFFF" w:themeColor="background1"/>
            </w:tcBorders>
          </w:tcPr>
          <w:p w:rsidR="00C5408A" w:rsidRPr="00C5408A" w:rsidRDefault="00C5408A" w:rsidP="00C5408A">
            <w:pPr>
              <w:pStyle w:val="Default"/>
              <w:jc w:val="center"/>
              <w:rPr>
                <w:color w:val="FFFFFF" w:themeColor="background1"/>
                <w:sz w:val="22"/>
                <w:szCs w:val="22"/>
                <w:lang w:val="ka-GE"/>
              </w:rPr>
            </w:pPr>
            <w:r w:rsidRPr="00C5408A">
              <w:rPr>
                <w:color w:val="FFFFFF" w:themeColor="background1"/>
                <w:sz w:val="22"/>
                <w:szCs w:val="22"/>
                <w:lang w:val="ka-GE"/>
              </w:rPr>
              <w:t>ლოკალიზაცია</w:t>
            </w:r>
          </w:p>
          <w:p w:rsidR="00C5408A" w:rsidRPr="00C5408A" w:rsidRDefault="00C5408A" w:rsidP="00C5408A">
            <w:pPr>
              <w:jc w:val="center"/>
              <w:rPr>
                <w:rFonts w:ascii="Sylfaen" w:hAnsi="Sylfaen"/>
                <w:lang w:val="ka-GE"/>
              </w:rPr>
            </w:pPr>
          </w:p>
        </w:tc>
        <w:tc>
          <w:tcPr>
            <w:tcW w:w="3192" w:type="dxa"/>
            <w:tcBorders>
              <w:left w:val="single" w:sz="4" w:space="0" w:color="FFFFFF" w:themeColor="background1"/>
              <w:right w:val="single" w:sz="4" w:space="0" w:color="FFFFFF" w:themeColor="background1"/>
            </w:tcBorders>
          </w:tcPr>
          <w:p w:rsidR="00C5408A" w:rsidRPr="00E7130A" w:rsidRDefault="00C5408A" w:rsidP="00C5408A">
            <w:pPr>
              <w:jc w:val="center"/>
              <w:cnfStyle w:val="100000000000" w:firstRow="1" w:lastRow="0" w:firstColumn="0" w:lastColumn="0" w:oddVBand="0" w:evenVBand="0" w:oddHBand="0" w:evenHBand="0" w:firstRowFirstColumn="0" w:firstRowLastColumn="0" w:lastRowFirstColumn="0" w:lastRowLastColumn="0"/>
              <w:rPr>
                <w:rFonts w:ascii="Sylfaen" w:hAnsi="Sylfaen"/>
              </w:rPr>
            </w:pPr>
            <w:r w:rsidRPr="00C5408A">
              <w:rPr>
                <w:rFonts w:ascii="Sylfaen" w:hAnsi="Sylfaen"/>
                <w:lang w:val="ka-GE"/>
              </w:rPr>
              <w:t>ახალი შემთვევების რაოდენობა</w:t>
            </w:r>
          </w:p>
        </w:tc>
        <w:tc>
          <w:tcPr>
            <w:cnfStyle w:val="000010000000" w:firstRow="0" w:lastRow="0" w:firstColumn="0" w:lastColumn="0" w:oddVBand="1" w:evenVBand="0" w:oddHBand="0" w:evenHBand="0" w:firstRowFirstColumn="0" w:firstRowLastColumn="0" w:lastRowFirstColumn="0" w:lastRowLastColumn="0"/>
            <w:tcW w:w="3192" w:type="dxa"/>
            <w:tcBorders>
              <w:left w:val="single" w:sz="4" w:space="0" w:color="FFFFFF" w:themeColor="background1"/>
            </w:tcBorders>
          </w:tcPr>
          <w:p w:rsidR="00C5408A" w:rsidRPr="00C5408A" w:rsidRDefault="00C5408A" w:rsidP="00C5408A">
            <w:pPr>
              <w:pStyle w:val="Default"/>
              <w:jc w:val="center"/>
              <w:rPr>
                <w:color w:val="FFFFFF" w:themeColor="background1"/>
                <w:sz w:val="22"/>
                <w:szCs w:val="22"/>
              </w:rPr>
            </w:pPr>
            <w:r w:rsidRPr="00E7130A">
              <w:rPr>
                <w:color w:val="FFFFFF" w:themeColor="background1"/>
                <w:sz w:val="22"/>
                <w:szCs w:val="22"/>
              </w:rPr>
              <w:t>წილი</w:t>
            </w:r>
            <w:r w:rsidRPr="00C5408A">
              <w:rPr>
                <w:color w:val="FFFFFF" w:themeColor="background1"/>
                <w:sz w:val="22"/>
                <w:szCs w:val="22"/>
              </w:rPr>
              <w:t xml:space="preserve"> ქალებში რეგისტრირებული ყველა ლოკალიზაციის კიბოს ახალი შემთხვევების საერთო რაოდენობაში</w:t>
            </w:r>
          </w:p>
          <w:p w:rsidR="00C5408A" w:rsidRPr="00C5408A" w:rsidRDefault="00C5408A" w:rsidP="00C5408A">
            <w:pPr>
              <w:jc w:val="center"/>
              <w:rPr>
                <w:rFonts w:ascii="Sylfaen" w:hAnsi="Sylfaen"/>
                <w:lang w:val="ka-GE"/>
              </w:rPr>
            </w:pPr>
          </w:p>
        </w:tc>
      </w:tr>
      <w:tr w:rsidR="00C5408A" w:rsidTr="00C540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2" w:type="dxa"/>
          </w:tcPr>
          <w:p w:rsidR="00C5408A" w:rsidRPr="007602F9" w:rsidRDefault="00C5408A">
            <w:pPr>
              <w:pStyle w:val="Default"/>
              <w:rPr>
                <w:sz w:val="20"/>
                <w:szCs w:val="20"/>
              </w:rPr>
            </w:pPr>
            <w:r w:rsidRPr="007602F9">
              <w:rPr>
                <w:sz w:val="20"/>
                <w:szCs w:val="20"/>
              </w:rPr>
              <w:t xml:space="preserve">სარძევე ჯირკვალი </w:t>
            </w:r>
          </w:p>
        </w:tc>
        <w:tc>
          <w:tcPr>
            <w:tcW w:w="3192" w:type="dxa"/>
          </w:tcPr>
          <w:p w:rsidR="00C5408A" w:rsidRPr="007602F9" w:rsidRDefault="00C5408A">
            <w:pPr>
              <w:pStyle w:val="Default"/>
              <w:cnfStyle w:val="000000100000" w:firstRow="0" w:lastRow="0" w:firstColumn="0" w:lastColumn="0" w:oddVBand="0" w:evenVBand="0" w:oddHBand="1" w:evenHBand="0" w:firstRowFirstColumn="0" w:firstRowLastColumn="0" w:lastRowFirstColumn="0" w:lastRowLastColumn="0"/>
              <w:rPr>
                <w:rFonts w:cs="Calibri"/>
                <w:sz w:val="20"/>
                <w:szCs w:val="20"/>
              </w:rPr>
            </w:pPr>
            <w:r w:rsidRPr="007602F9">
              <w:rPr>
                <w:rFonts w:cs="Calibri"/>
                <w:bCs/>
                <w:sz w:val="20"/>
                <w:szCs w:val="20"/>
              </w:rPr>
              <w:t xml:space="preserve">1 756 </w:t>
            </w:r>
          </w:p>
        </w:tc>
        <w:tc>
          <w:tcPr>
            <w:cnfStyle w:val="000010000000" w:firstRow="0" w:lastRow="0" w:firstColumn="0" w:lastColumn="0" w:oddVBand="1" w:evenVBand="0" w:oddHBand="0" w:evenHBand="0" w:firstRowFirstColumn="0" w:firstRowLastColumn="0" w:lastRowFirstColumn="0" w:lastRowLastColumn="0"/>
            <w:tcW w:w="3192" w:type="dxa"/>
          </w:tcPr>
          <w:p w:rsidR="00C5408A" w:rsidRPr="007602F9" w:rsidRDefault="00C5408A">
            <w:pPr>
              <w:pStyle w:val="Default"/>
              <w:rPr>
                <w:rFonts w:cs="Calibri"/>
                <w:sz w:val="20"/>
                <w:szCs w:val="20"/>
              </w:rPr>
            </w:pPr>
            <w:r w:rsidRPr="007602F9">
              <w:rPr>
                <w:rFonts w:cs="Calibri"/>
                <w:bCs/>
                <w:sz w:val="20"/>
                <w:szCs w:val="20"/>
              </w:rPr>
              <w:t xml:space="preserve">33.5% </w:t>
            </w:r>
          </w:p>
        </w:tc>
      </w:tr>
      <w:tr w:rsidR="00C5408A" w:rsidTr="00C5408A">
        <w:tc>
          <w:tcPr>
            <w:cnfStyle w:val="000010000000" w:firstRow="0" w:lastRow="0" w:firstColumn="0" w:lastColumn="0" w:oddVBand="1" w:evenVBand="0" w:oddHBand="0" w:evenHBand="0" w:firstRowFirstColumn="0" w:firstRowLastColumn="0" w:lastRowFirstColumn="0" w:lastRowLastColumn="0"/>
            <w:tcW w:w="3192" w:type="dxa"/>
          </w:tcPr>
          <w:p w:rsidR="00C5408A" w:rsidRPr="007602F9" w:rsidRDefault="00C5408A">
            <w:pPr>
              <w:pStyle w:val="Default"/>
              <w:rPr>
                <w:sz w:val="20"/>
                <w:szCs w:val="20"/>
              </w:rPr>
            </w:pPr>
            <w:r w:rsidRPr="007602F9">
              <w:rPr>
                <w:sz w:val="20"/>
                <w:szCs w:val="20"/>
              </w:rPr>
              <w:t xml:space="preserve">ფარისებრი ჯირკვალი </w:t>
            </w:r>
          </w:p>
        </w:tc>
        <w:tc>
          <w:tcPr>
            <w:tcW w:w="3192" w:type="dxa"/>
          </w:tcPr>
          <w:p w:rsidR="00C5408A" w:rsidRPr="007602F9" w:rsidRDefault="00C5408A">
            <w:pPr>
              <w:pStyle w:val="Default"/>
              <w:cnfStyle w:val="000000000000" w:firstRow="0" w:lastRow="0" w:firstColumn="0" w:lastColumn="0" w:oddVBand="0" w:evenVBand="0" w:oddHBand="0" w:evenHBand="0" w:firstRowFirstColumn="0" w:firstRowLastColumn="0" w:lastRowFirstColumn="0" w:lastRowLastColumn="0"/>
              <w:rPr>
                <w:rFonts w:cs="Calibri"/>
                <w:sz w:val="20"/>
                <w:szCs w:val="20"/>
              </w:rPr>
            </w:pPr>
            <w:r w:rsidRPr="007602F9">
              <w:rPr>
                <w:rFonts w:cs="Calibri"/>
                <w:bCs/>
                <w:sz w:val="20"/>
                <w:szCs w:val="20"/>
              </w:rPr>
              <w:t xml:space="preserve">757 </w:t>
            </w:r>
          </w:p>
        </w:tc>
        <w:tc>
          <w:tcPr>
            <w:cnfStyle w:val="000010000000" w:firstRow="0" w:lastRow="0" w:firstColumn="0" w:lastColumn="0" w:oddVBand="1" w:evenVBand="0" w:oddHBand="0" w:evenHBand="0" w:firstRowFirstColumn="0" w:firstRowLastColumn="0" w:lastRowFirstColumn="0" w:lastRowLastColumn="0"/>
            <w:tcW w:w="3192" w:type="dxa"/>
          </w:tcPr>
          <w:p w:rsidR="00C5408A" w:rsidRPr="007602F9" w:rsidRDefault="00C5408A">
            <w:pPr>
              <w:pStyle w:val="Default"/>
              <w:rPr>
                <w:rFonts w:cs="Calibri"/>
                <w:sz w:val="20"/>
                <w:szCs w:val="20"/>
              </w:rPr>
            </w:pPr>
            <w:r w:rsidRPr="007602F9">
              <w:rPr>
                <w:rFonts w:cs="Calibri"/>
                <w:bCs/>
                <w:sz w:val="20"/>
                <w:szCs w:val="20"/>
              </w:rPr>
              <w:t xml:space="preserve">14.4% </w:t>
            </w:r>
          </w:p>
        </w:tc>
      </w:tr>
      <w:tr w:rsidR="00C5408A" w:rsidTr="00C540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2" w:type="dxa"/>
          </w:tcPr>
          <w:p w:rsidR="00C5408A" w:rsidRPr="007602F9" w:rsidRDefault="00C5408A">
            <w:pPr>
              <w:pStyle w:val="Default"/>
              <w:rPr>
                <w:sz w:val="20"/>
                <w:szCs w:val="20"/>
              </w:rPr>
            </w:pPr>
            <w:r w:rsidRPr="007602F9">
              <w:rPr>
                <w:sz w:val="20"/>
                <w:szCs w:val="20"/>
              </w:rPr>
              <w:t xml:space="preserve">საშვილოსნოს ყელი </w:t>
            </w:r>
          </w:p>
        </w:tc>
        <w:tc>
          <w:tcPr>
            <w:tcW w:w="3192" w:type="dxa"/>
          </w:tcPr>
          <w:p w:rsidR="00C5408A" w:rsidRPr="007602F9" w:rsidRDefault="00C5408A">
            <w:pPr>
              <w:pStyle w:val="Default"/>
              <w:cnfStyle w:val="000000100000" w:firstRow="0" w:lastRow="0" w:firstColumn="0" w:lastColumn="0" w:oddVBand="0" w:evenVBand="0" w:oddHBand="1" w:evenHBand="0" w:firstRowFirstColumn="0" w:firstRowLastColumn="0" w:lastRowFirstColumn="0" w:lastRowLastColumn="0"/>
              <w:rPr>
                <w:rFonts w:cs="Calibri"/>
                <w:sz w:val="20"/>
                <w:szCs w:val="20"/>
              </w:rPr>
            </w:pPr>
            <w:r w:rsidRPr="007602F9">
              <w:rPr>
                <w:rFonts w:cs="Calibri"/>
                <w:bCs/>
                <w:sz w:val="20"/>
                <w:szCs w:val="20"/>
              </w:rPr>
              <w:t xml:space="preserve">371 </w:t>
            </w:r>
          </w:p>
        </w:tc>
        <w:tc>
          <w:tcPr>
            <w:cnfStyle w:val="000010000000" w:firstRow="0" w:lastRow="0" w:firstColumn="0" w:lastColumn="0" w:oddVBand="1" w:evenVBand="0" w:oddHBand="0" w:evenHBand="0" w:firstRowFirstColumn="0" w:firstRowLastColumn="0" w:lastRowFirstColumn="0" w:lastRowLastColumn="0"/>
            <w:tcW w:w="3192" w:type="dxa"/>
          </w:tcPr>
          <w:p w:rsidR="00C5408A" w:rsidRPr="007602F9" w:rsidRDefault="00C5408A">
            <w:pPr>
              <w:pStyle w:val="Default"/>
              <w:rPr>
                <w:rFonts w:cs="Calibri"/>
                <w:sz w:val="20"/>
                <w:szCs w:val="20"/>
              </w:rPr>
            </w:pPr>
            <w:r w:rsidRPr="007602F9">
              <w:rPr>
                <w:rFonts w:cs="Calibri"/>
                <w:bCs/>
                <w:sz w:val="20"/>
                <w:szCs w:val="20"/>
              </w:rPr>
              <w:t xml:space="preserve">7.1% </w:t>
            </w:r>
          </w:p>
        </w:tc>
      </w:tr>
      <w:tr w:rsidR="00C5408A" w:rsidTr="00C5408A">
        <w:tc>
          <w:tcPr>
            <w:cnfStyle w:val="000010000000" w:firstRow="0" w:lastRow="0" w:firstColumn="0" w:lastColumn="0" w:oddVBand="1" w:evenVBand="0" w:oddHBand="0" w:evenHBand="0" w:firstRowFirstColumn="0" w:firstRowLastColumn="0" w:lastRowFirstColumn="0" w:lastRowLastColumn="0"/>
            <w:tcW w:w="3192" w:type="dxa"/>
          </w:tcPr>
          <w:p w:rsidR="00C5408A" w:rsidRPr="001113B1" w:rsidRDefault="00C5408A">
            <w:pPr>
              <w:pStyle w:val="Default"/>
              <w:rPr>
                <w:sz w:val="20"/>
                <w:szCs w:val="20"/>
              </w:rPr>
            </w:pPr>
            <w:r w:rsidRPr="001113B1">
              <w:rPr>
                <w:sz w:val="20"/>
                <w:szCs w:val="20"/>
              </w:rPr>
              <w:t xml:space="preserve">საშვილოსნოს ტანი </w:t>
            </w:r>
          </w:p>
        </w:tc>
        <w:tc>
          <w:tcPr>
            <w:tcW w:w="3192" w:type="dxa"/>
          </w:tcPr>
          <w:p w:rsidR="00C5408A" w:rsidRPr="001113B1" w:rsidRDefault="00C5408A">
            <w:pPr>
              <w:pStyle w:val="Default"/>
              <w:cnfStyle w:val="000000000000" w:firstRow="0" w:lastRow="0" w:firstColumn="0" w:lastColumn="0" w:oddVBand="0" w:evenVBand="0" w:oddHBand="0" w:evenHBand="0" w:firstRowFirstColumn="0" w:firstRowLastColumn="0" w:lastRowFirstColumn="0" w:lastRowLastColumn="0"/>
              <w:rPr>
                <w:rFonts w:cs="Calibri"/>
                <w:sz w:val="20"/>
                <w:szCs w:val="20"/>
              </w:rPr>
            </w:pPr>
            <w:r w:rsidRPr="001113B1">
              <w:rPr>
                <w:rFonts w:cs="Calibri"/>
                <w:bCs/>
                <w:sz w:val="20"/>
                <w:szCs w:val="20"/>
              </w:rPr>
              <w:t xml:space="preserve">351 </w:t>
            </w:r>
          </w:p>
        </w:tc>
        <w:tc>
          <w:tcPr>
            <w:cnfStyle w:val="000010000000" w:firstRow="0" w:lastRow="0" w:firstColumn="0" w:lastColumn="0" w:oddVBand="1" w:evenVBand="0" w:oddHBand="0" w:evenHBand="0" w:firstRowFirstColumn="0" w:firstRowLastColumn="0" w:lastRowFirstColumn="0" w:lastRowLastColumn="0"/>
            <w:tcW w:w="3192" w:type="dxa"/>
          </w:tcPr>
          <w:p w:rsidR="00C5408A" w:rsidRPr="001113B1" w:rsidRDefault="00C5408A">
            <w:pPr>
              <w:pStyle w:val="Default"/>
              <w:rPr>
                <w:rFonts w:cs="Calibri"/>
                <w:sz w:val="20"/>
                <w:szCs w:val="20"/>
              </w:rPr>
            </w:pPr>
            <w:r w:rsidRPr="001113B1">
              <w:rPr>
                <w:rFonts w:cs="Calibri"/>
                <w:bCs/>
                <w:sz w:val="20"/>
                <w:szCs w:val="20"/>
              </w:rPr>
              <w:t xml:space="preserve">6.7% </w:t>
            </w:r>
          </w:p>
        </w:tc>
      </w:tr>
      <w:tr w:rsidR="00C5408A" w:rsidTr="00C540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2" w:type="dxa"/>
          </w:tcPr>
          <w:p w:rsidR="00C5408A" w:rsidRPr="007602F9" w:rsidRDefault="00C5408A" w:rsidP="00644D9F">
            <w:pPr>
              <w:jc w:val="both"/>
              <w:rPr>
                <w:rFonts w:ascii="Sylfaen" w:hAnsi="Sylfaen"/>
                <w:sz w:val="20"/>
                <w:szCs w:val="20"/>
                <w:lang w:val="ka-GE"/>
              </w:rPr>
            </w:pPr>
            <w:r w:rsidRPr="007602F9">
              <w:rPr>
                <w:rFonts w:ascii="Sylfaen" w:hAnsi="Sylfaen"/>
                <w:sz w:val="20"/>
                <w:szCs w:val="20"/>
                <w:lang w:val="ka-GE"/>
              </w:rPr>
              <w:t>კოლორექტული</w:t>
            </w:r>
          </w:p>
        </w:tc>
        <w:tc>
          <w:tcPr>
            <w:tcW w:w="3192" w:type="dxa"/>
          </w:tcPr>
          <w:p w:rsidR="00C5408A" w:rsidRPr="007602F9" w:rsidRDefault="00C5408A" w:rsidP="00644D9F">
            <w:pPr>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7602F9">
              <w:rPr>
                <w:rFonts w:ascii="Sylfaen" w:hAnsi="Sylfaen"/>
                <w:sz w:val="20"/>
                <w:szCs w:val="20"/>
                <w:lang w:val="ka-GE"/>
              </w:rPr>
              <w:t>342</w:t>
            </w:r>
          </w:p>
        </w:tc>
        <w:tc>
          <w:tcPr>
            <w:cnfStyle w:val="000010000000" w:firstRow="0" w:lastRow="0" w:firstColumn="0" w:lastColumn="0" w:oddVBand="1" w:evenVBand="0" w:oddHBand="0" w:evenHBand="0" w:firstRowFirstColumn="0" w:firstRowLastColumn="0" w:lastRowFirstColumn="0" w:lastRowLastColumn="0"/>
            <w:tcW w:w="3192" w:type="dxa"/>
          </w:tcPr>
          <w:p w:rsidR="00C5408A" w:rsidRPr="007602F9" w:rsidRDefault="00C5408A" w:rsidP="00644D9F">
            <w:pPr>
              <w:jc w:val="both"/>
              <w:rPr>
                <w:rFonts w:ascii="Sylfaen" w:hAnsi="Sylfaen"/>
                <w:sz w:val="20"/>
                <w:szCs w:val="20"/>
                <w:lang w:val="ka-GE"/>
              </w:rPr>
            </w:pPr>
            <w:r w:rsidRPr="007602F9">
              <w:rPr>
                <w:rFonts w:ascii="Sylfaen" w:hAnsi="Sylfaen"/>
                <w:sz w:val="20"/>
                <w:szCs w:val="20"/>
                <w:lang w:val="ka-GE"/>
              </w:rPr>
              <w:t>6,5%</w:t>
            </w:r>
          </w:p>
        </w:tc>
      </w:tr>
    </w:tbl>
    <w:p w:rsidR="00644D9F" w:rsidRDefault="007602F9" w:rsidP="00644D9F">
      <w:pPr>
        <w:jc w:val="both"/>
        <w:rPr>
          <w:rFonts w:ascii="Sylfaen" w:hAnsi="Sylfaen"/>
          <w:lang w:val="ka-GE"/>
        </w:rPr>
      </w:pPr>
      <w:r>
        <w:rPr>
          <w:rFonts w:ascii="Sylfaen" w:hAnsi="Sylfaen"/>
          <w:lang w:val="ka-GE"/>
        </w:rPr>
        <w:t xml:space="preserve">სამწუხაროდ, </w:t>
      </w:r>
      <w:r w:rsidRPr="007602F9">
        <w:rPr>
          <w:rFonts w:ascii="Sylfaen" w:hAnsi="Sylfaen"/>
          <w:lang w:val="ka-GE"/>
        </w:rPr>
        <w:t>ყველა ლოკალიზაციის კიბოს ახალი შემთხვევების 72,2% რეგისტრირებულია ყველაზე შრომისუნარიან ასაკობრივ ჯგუფში (30 წლიდან 70 წლამდე</w:t>
      </w:r>
      <w:r w:rsidR="001113B1">
        <w:rPr>
          <w:rFonts w:ascii="Sylfaen" w:hAnsi="Sylfaen"/>
          <w:lang w:val="ka-GE"/>
        </w:rPr>
        <w:t xml:space="preserve"> </w:t>
      </w:r>
      <w:r w:rsidR="00DF76A3">
        <w:rPr>
          <w:rFonts w:ascii="Sylfaen" w:hAnsi="Sylfaen"/>
          <w:lang w:val="ka-GE"/>
        </w:rPr>
        <w:t>ქალეშ</w:t>
      </w:r>
      <w:r w:rsidR="001113B1">
        <w:rPr>
          <w:rFonts w:ascii="Sylfaen" w:hAnsi="Sylfaen"/>
          <w:lang w:val="ka-GE"/>
        </w:rPr>
        <w:t>ი</w:t>
      </w:r>
      <w:r w:rsidRPr="007602F9">
        <w:rPr>
          <w:rFonts w:ascii="Sylfaen" w:hAnsi="Sylfaen"/>
          <w:lang w:val="ka-GE"/>
        </w:rPr>
        <w:t>)</w:t>
      </w:r>
      <w:r>
        <w:rPr>
          <w:rFonts w:ascii="Sylfaen" w:hAnsi="Sylfaen"/>
          <w:lang w:val="ka-GE"/>
        </w:rPr>
        <w:t xml:space="preserve">. ასევე, </w:t>
      </w:r>
      <w:r w:rsidRPr="007602F9">
        <w:rPr>
          <w:rFonts w:ascii="Sylfaen" w:hAnsi="Sylfaen" w:cs="Sylfaen"/>
          <w:sz w:val="23"/>
          <w:szCs w:val="23"/>
          <w:lang w:val="ka-GE"/>
        </w:rPr>
        <w:t>კიბოს</w:t>
      </w:r>
      <w:r w:rsidRPr="007602F9">
        <w:rPr>
          <w:sz w:val="23"/>
          <w:szCs w:val="23"/>
          <w:lang w:val="ka-GE"/>
        </w:rPr>
        <w:t xml:space="preserve"> </w:t>
      </w:r>
      <w:r w:rsidRPr="007602F9">
        <w:rPr>
          <w:rFonts w:ascii="Sylfaen" w:hAnsi="Sylfaen" w:cs="Sylfaen"/>
          <w:sz w:val="23"/>
          <w:szCs w:val="23"/>
          <w:lang w:val="ka-GE"/>
        </w:rPr>
        <w:t>რეგისტრის</w:t>
      </w:r>
      <w:r w:rsidRPr="007602F9">
        <w:rPr>
          <w:sz w:val="23"/>
          <w:szCs w:val="23"/>
          <w:lang w:val="ka-GE"/>
        </w:rPr>
        <w:t xml:space="preserve"> </w:t>
      </w:r>
      <w:r w:rsidRPr="007602F9">
        <w:rPr>
          <w:rFonts w:ascii="Sylfaen" w:hAnsi="Sylfaen" w:cs="Sylfaen"/>
          <w:sz w:val="23"/>
          <w:szCs w:val="23"/>
          <w:lang w:val="ka-GE"/>
        </w:rPr>
        <w:t>მონაცემების</w:t>
      </w:r>
      <w:r>
        <w:rPr>
          <w:rFonts w:ascii="Sylfaen" w:hAnsi="Sylfaen"/>
          <w:sz w:val="23"/>
          <w:szCs w:val="23"/>
          <w:lang w:val="ka-GE"/>
        </w:rPr>
        <w:t xml:space="preserve"> </w:t>
      </w:r>
      <w:r w:rsidRPr="007602F9">
        <w:rPr>
          <w:rFonts w:ascii="Sylfaen" w:hAnsi="Sylfaen" w:cs="Sylfaen"/>
          <w:sz w:val="23"/>
          <w:szCs w:val="23"/>
          <w:lang w:val="ka-GE"/>
        </w:rPr>
        <w:t>მიხედვით</w:t>
      </w:r>
      <w:r w:rsidRPr="007602F9">
        <w:rPr>
          <w:rFonts w:ascii="Calibri" w:hAnsi="Calibri" w:cs="Calibri"/>
          <w:sz w:val="23"/>
          <w:szCs w:val="23"/>
          <w:lang w:val="ka-GE"/>
        </w:rPr>
        <w:t xml:space="preserve">, 2015-2016 </w:t>
      </w:r>
      <w:r w:rsidRPr="007602F9">
        <w:rPr>
          <w:rFonts w:ascii="Sylfaen" w:hAnsi="Sylfaen" w:cs="Sylfaen"/>
          <w:sz w:val="23"/>
          <w:szCs w:val="23"/>
          <w:lang w:val="ka-GE"/>
        </w:rPr>
        <w:t>წლებში</w:t>
      </w:r>
      <w:r w:rsidRPr="007602F9">
        <w:rPr>
          <w:sz w:val="23"/>
          <w:szCs w:val="23"/>
          <w:lang w:val="ka-GE"/>
        </w:rPr>
        <w:t xml:space="preserve"> </w:t>
      </w:r>
      <w:r w:rsidRPr="007602F9">
        <w:rPr>
          <w:rFonts w:ascii="Sylfaen" w:hAnsi="Sylfaen" w:cs="Sylfaen"/>
          <w:sz w:val="23"/>
          <w:szCs w:val="23"/>
          <w:lang w:val="ka-GE"/>
        </w:rPr>
        <w:t>დაავადების</w:t>
      </w:r>
      <w:r w:rsidRPr="007602F9">
        <w:rPr>
          <w:sz w:val="23"/>
          <w:szCs w:val="23"/>
          <w:lang w:val="ka-GE"/>
        </w:rPr>
        <w:t xml:space="preserve"> </w:t>
      </w:r>
      <w:r w:rsidRPr="007602F9">
        <w:rPr>
          <w:rFonts w:ascii="Calibri" w:hAnsi="Calibri" w:cs="Calibri"/>
          <w:sz w:val="23"/>
          <w:szCs w:val="23"/>
          <w:lang w:val="ka-GE"/>
        </w:rPr>
        <w:t xml:space="preserve">I </w:t>
      </w:r>
      <w:r w:rsidRPr="007602F9">
        <w:rPr>
          <w:rFonts w:ascii="Sylfaen" w:hAnsi="Sylfaen" w:cs="Sylfaen"/>
          <w:sz w:val="23"/>
          <w:szCs w:val="23"/>
          <w:lang w:val="ka-GE"/>
        </w:rPr>
        <w:t>და</w:t>
      </w:r>
      <w:r w:rsidRPr="007602F9">
        <w:rPr>
          <w:sz w:val="23"/>
          <w:szCs w:val="23"/>
          <w:lang w:val="ka-GE"/>
        </w:rPr>
        <w:t xml:space="preserve"> </w:t>
      </w:r>
      <w:r w:rsidRPr="007602F9">
        <w:rPr>
          <w:rFonts w:ascii="Calibri" w:hAnsi="Calibri" w:cs="Calibri"/>
          <w:sz w:val="23"/>
          <w:szCs w:val="23"/>
          <w:lang w:val="ka-GE"/>
        </w:rPr>
        <w:t xml:space="preserve">II </w:t>
      </w:r>
      <w:r w:rsidRPr="007602F9">
        <w:rPr>
          <w:rFonts w:ascii="Sylfaen" w:hAnsi="Sylfaen" w:cs="Sylfaen"/>
          <w:sz w:val="23"/>
          <w:szCs w:val="23"/>
          <w:lang w:val="ka-GE"/>
        </w:rPr>
        <w:t>სტადიაზე</w:t>
      </w:r>
      <w:r w:rsidRPr="007602F9">
        <w:rPr>
          <w:sz w:val="23"/>
          <w:szCs w:val="23"/>
          <w:lang w:val="ka-GE"/>
        </w:rPr>
        <w:t xml:space="preserve"> </w:t>
      </w:r>
      <w:r w:rsidRPr="007602F9">
        <w:rPr>
          <w:rFonts w:ascii="Sylfaen" w:hAnsi="Sylfaen" w:cs="Sylfaen"/>
          <w:sz w:val="23"/>
          <w:szCs w:val="23"/>
          <w:lang w:val="ka-GE"/>
        </w:rPr>
        <w:t>რეგისტრირებულია</w:t>
      </w:r>
      <w:r w:rsidRPr="007602F9">
        <w:rPr>
          <w:sz w:val="23"/>
          <w:szCs w:val="23"/>
          <w:lang w:val="ka-GE"/>
        </w:rPr>
        <w:t xml:space="preserve"> </w:t>
      </w:r>
      <w:r w:rsidRPr="007602F9">
        <w:rPr>
          <w:rFonts w:ascii="Sylfaen" w:hAnsi="Sylfaen" w:cs="Sylfaen"/>
          <w:sz w:val="23"/>
          <w:szCs w:val="23"/>
          <w:lang w:val="ka-GE"/>
        </w:rPr>
        <w:t>ყველა</w:t>
      </w:r>
      <w:r w:rsidRPr="007602F9">
        <w:rPr>
          <w:sz w:val="23"/>
          <w:szCs w:val="23"/>
          <w:lang w:val="ka-GE"/>
        </w:rPr>
        <w:t xml:space="preserve"> </w:t>
      </w:r>
      <w:r w:rsidRPr="007602F9">
        <w:rPr>
          <w:rFonts w:ascii="Sylfaen" w:hAnsi="Sylfaen" w:cs="Sylfaen"/>
          <w:sz w:val="23"/>
          <w:szCs w:val="23"/>
          <w:lang w:val="ka-GE"/>
        </w:rPr>
        <w:t>ლოკალიზაციის</w:t>
      </w:r>
      <w:r w:rsidRPr="007602F9">
        <w:rPr>
          <w:sz w:val="23"/>
          <w:szCs w:val="23"/>
          <w:lang w:val="ka-GE"/>
        </w:rPr>
        <w:t xml:space="preserve"> </w:t>
      </w:r>
      <w:r w:rsidRPr="007602F9">
        <w:rPr>
          <w:rFonts w:ascii="Sylfaen" w:hAnsi="Sylfaen" w:cs="Sylfaen"/>
          <w:sz w:val="23"/>
          <w:szCs w:val="23"/>
          <w:lang w:val="ka-GE"/>
        </w:rPr>
        <w:t>კიბოს</w:t>
      </w:r>
      <w:r w:rsidRPr="007602F9">
        <w:rPr>
          <w:sz w:val="23"/>
          <w:szCs w:val="23"/>
          <w:lang w:val="ka-GE"/>
        </w:rPr>
        <w:t xml:space="preserve"> </w:t>
      </w:r>
      <w:r w:rsidRPr="007602F9">
        <w:rPr>
          <w:rFonts w:ascii="Sylfaen" w:hAnsi="Sylfaen" w:cs="Sylfaen"/>
          <w:sz w:val="23"/>
          <w:szCs w:val="23"/>
          <w:lang w:val="ka-GE"/>
        </w:rPr>
        <w:t>ახალი</w:t>
      </w:r>
      <w:r w:rsidRPr="007602F9">
        <w:rPr>
          <w:sz w:val="23"/>
          <w:szCs w:val="23"/>
          <w:lang w:val="ka-GE"/>
        </w:rPr>
        <w:t xml:space="preserve"> </w:t>
      </w:r>
      <w:r w:rsidRPr="007602F9">
        <w:rPr>
          <w:rFonts w:ascii="Sylfaen" w:hAnsi="Sylfaen" w:cs="Sylfaen"/>
          <w:sz w:val="23"/>
          <w:szCs w:val="23"/>
          <w:lang w:val="ka-GE"/>
        </w:rPr>
        <w:t>შემთხვევების</w:t>
      </w:r>
      <w:r w:rsidRPr="007602F9">
        <w:rPr>
          <w:sz w:val="23"/>
          <w:szCs w:val="23"/>
          <w:lang w:val="ka-GE"/>
        </w:rPr>
        <w:t xml:space="preserve"> </w:t>
      </w:r>
      <w:r w:rsidRPr="007602F9">
        <w:rPr>
          <w:rFonts w:ascii="Calibri" w:hAnsi="Calibri" w:cs="Calibri"/>
          <w:sz w:val="23"/>
          <w:szCs w:val="23"/>
          <w:lang w:val="ka-GE"/>
        </w:rPr>
        <w:t xml:space="preserve">39%; III </w:t>
      </w:r>
      <w:r w:rsidRPr="007602F9">
        <w:rPr>
          <w:rFonts w:ascii="Sylfaen" w:hAnsi="Sylfaen" w:cs="Sylfaen"/>
          <w:sz w:val="23"/>
          <w:szCs w:val="23"/>
          <w:lang w:val="ka-GE"/>
        </w:rPr>
        <w:t>და</w:t>
      </w:r>
      <w:r w:rsidRPr="007602F9">
        <w:rPr>
          <w:sz w:val="23"/>
          <w:szCs w:val="23"/>
          <w:lang w:val="ka-GE"/>
        </w:rPr>
        <w:t xml:space="preserve"> </w:t>
      </w:r>
      <w:r w:rsidRPr="007602F9">
        <w:rPr>
          <w:rFonts w:ascii="Calibri" w:hAnsi="Calibri" w:cs="Calibri"/>
          <w:sz w:val="23"/>
          <w:szCs w:val="23"/>
          <w:lang w:val="ka-GE"/>
        </w:rPr>
        <w:t xml:space="preserve">IV </w:t>
      </w:r>
      <w:r w:rsidRPr="007602F9">
        <w:rPr>
          <w:rFonts w:ascii="Sylfaen" w:hAnsi="Sylfaen" w:cs="Sylfaen"/>
          <w:sz w:val="23"/>
          <w:szCs w:val="23"/>
          <w:lang w:val="ka-GE"/>
        </w:rPr>
        <w:t>სტადიებზე</w:t>
      </w:r>
      <w:r w:rsidRPr="007602F9">
        <w:rPr>
          <w:sz w:val="23"/>
          <w:szCs w:val="23"/>
          <w:lang w:val="ka-GE"/>
        </w:rPr>
        <w:t xml:space="preserve"> </w:t>
      </w:r>
      <w:r w:rsidRPr="007602F9">
        <w:rPr>
          <w:rFonts w:ascii="Sylfaen" w:hAnsi="Sylfaen" w:cs="Sylfaen"/>
          <w:sz w:val="23"/>
          <w:szCs w:val="23"/>
          <w:lang w:val="ka-GE"/>
        </w:rPr>
        <w:t>რეგისტრირებული</w:t>
      </w:r>
      <w:r w:rsidRPr="007602F9">
        <w:rPr>
          <w:sz w:val="23"/>
          <w:szCs w:val="23"/>
          <w:lang w:val="ka-GE"/>
        </w:rPr>
        <w:t xml:space="preserve"> </w:t>
      </w:r>
      <w:r w:rsidRPr="007602F9">
        <w:rPr>
          <w:rFonts w:ascii="Sylfaen" w:hAnsi="Sylfaen" w:cs="Sylfaen"/>
          <w:sz w:val="23"/>
          <w:szCs w:val="23"/>
          <w:lang w:val="ka-GE"/>
        </w:rPr>
        <w:t>დაავადებების</w:t>
      </w:r>
      <w:r w:rsidRPr="007602F9">
        <w:rPr>
          <w:sz w:val="23"/>
          <w:szCs w:val="23"/>
          <w:lang w:val="ka-GE"/>
        </w:rPr>
        <w:t xml:space="preserve"> </w:t>
      </w:r>
      <w:r w:rsidRPr="007602F9">
        <w:rPr>
          <w:rFonts w:ascii="Sylfaen" w:hAnsi="Sylfaen" w:cs="Sylfaen"/>
          <w:sz w:val="23"/>
          <w:szCs w:val="23"/>
          <w:lang w:val="ka-GE"/>
        </w:rPr>
        <w:t>წილი</w:t>
      </w:r>
      <w:r w:rsidRPr="007602F9">
        <w:rPr>
          <w:sz w:val="23"/>
          <w:szCs w:val="23"/>
          <w:lang w:val="ka-GE"/>
        </w:rPr>
        <w:t xml:space="preserve"> </w:t>
      </w:r>
      <w:r w:rsidRPr="007602F9">
        <w:rPr>
          <w:rFonts w:ascii="Sylfaen" w:hAnsi="Sylfaen" w:cs="Sylfaen"/>
          <w:sz w:val="23"/>
          <w:szCs w:val="23"/>
          <w:lang w:val="ka-GE"/>
        </w:rPr>
        <w:t>კვლავ</w:t>
      </w:r>
      <w:r w:rsidRPr="007602F9">
        <w:rPr>
          <w:sz w:val="23"/>
          <w:szCs w:val="23"/>
          <w:lang w:val="ka-GE"/>
        </w:rPr>
        <w:t xml:space="preserve"> </w:t>
      </w:r>
      <w:r w:rsidRPr="007602F9">
        <w:rPr>
          <w:rFonts w:ascii="Sylfaen" w:hAnsi="Sylfaen" w:cs="Sylfaen"/>
          <w:sz w:val="23"/>
          <w:szCs w:val="23"/>
          <w:lang w:val="ka-GE"/>
        </w:rPr>
        <w:t>მაღალი</w:t>
      </w:r>
      <w:r>
        <w:rPr>
          <w:rFonts w:ascii="Sylfaen" w:hAnsi="Sylfaen" w:cs="Sylfaen"/>
          <w:sz w:val="23"/>
          <w:szCs w:val="23"/>
          <w:lang w:val="ka-GE"/>
        </w:rPr>
        <w:t xml:space="preserve"> რჩება</w:t>
      </w:r>
      <w:r w:rsidRPr="007602F9">
        <w:rPr>
          <w:sz w:val="23"/>
          <w:szCs w:val="23"/>
          <w:lang w:val="ka-GE"/>
        </w:rPr>
        <w:t xml:space="preserve"> </w:t>
      </w:r>
      <w:r w:rsidRPr="007602F9">
        <w:rPr>
          <w:rFonts w:ascii="Sylfaen" w:hAnsi="Sylfaen" w:cs="Sylfaen"/>
          <w:sz w:val="23"/>
          <w:szCs w:val="23"/>
          <w:lang w:val="ka-GE"/>
        </w:rPr>
        <w:t>და</w:t>
      </w:r>
      <w:r w:rsidRPr="007602F9">
        <w:rPr>
          <w:sz w:val="23"/>
          <w:szCs w:val="23"/>
          <w:lang w:val="ka-GE"/>
        </w:rPr>
        <w:t xml:space="preserve"> </w:t>
      </w:r>
      <w:r w:rsidRPr="007602F9">
        <w:rPr>
          <w:rFonts w:ascii="Calibri" w:hAnsi="Calibri" w:cs="Calibri"/>
          <w:sz w:val="23"/>
          <w:szCs w:val="23"/>
          <w:lang w:val="ka-GE"/>
        </w:rPr>
        <w:t xml:space="preserve">2015 </w:t>
      </w:r>
      <w:r w:rsidRPr="007602F9">
        <w:rPr>
          <w:rFonts w:ascii="Sylfaen" w:hAnsi="Sylfaen" w:cs="Sylfaen"/>
          <w:sz w:val="23"/>
          <w:szCs w:val="23"/>
          <w:lang w:val="ka-GE"/>
        </w:rPr>
        <w:t>და</w:t>
      </w:r>
      <w:r w:rsidRPr="007602F9">
        <w:rPr>
          <w:sz w:val="23"/>
          <w:szCs w:val="23"/>
          <w:lang w:val="ka-GE"/>
        </w:rPr>
        <w:t xml:space="preserve"> </w:t>
      </w:r>
      <w:r w:rsidRPr="007602F9">
        <w:rPr>
          <w:rFonts w:ascii="Calibri" w:hAnsi="Calibri" w:cs="Calibri"/>
          <w:sz w:val="23"/>
          <w:szCs w:val="23"/>
          <w:lang w:val="ka-GE"/>
        </w:rPr>
        <w:lastRenderedPageBreak/>
        <w:t xml:space="preserve">2016 </w:t>
      </w:r>
      <w:r w:rsidRPr="007602F9">
        <w:rPr>
          <w:rFonts w:ascii="Sylfaen" w:hAnsi="Sylfaen" w:cs="Sylfaen"/>
          <w:sz w:val="23"/>
          <w:szCs w:val="23"/>
          <w:lang w:val="ka-GE"/>
        </w:rPr>
        <w:t>წლებში</w:t>
      </w:r>
      <w:r w:rsidRPr="007602F9">
        <w:rPr>
          <w:sz w:val="23"/>
          <w:szCs w:val="23"/>
          <w:lang w:val="ka-GE"/>
        </w:rPr>
        <w:t xml:space="preserve"> </w:t>
      </w:r>
      <w:r w:rsidRPr="007602F9">
        <w:rPr>
          <w:rFonts w:ascii="Sylfaen" w:hAnsi="Sylfaen" w:cs="Sylfaen"/>
          <w:sz w:val="23"/>
          <w:szCs w:val="23"/>
          <w:lang w:val="ka-GE"/>
        </w:rPr>
        <w:t>ავთვისებიანი</w:t>
      </w:r>
      <w:r w:rsidRPr="007602F9">
        <w:rPr>
          <w:sz w:val="23"/>
          <w:szCs w:val="23"/>
          <w:lang w:val="ka-GE"/>
        </w:rPr>
        <w:t xml:space="preserve"> </w:t>
      </w:r>
      <w:r w:rsidRPr="007602F9">
        <w:rPr>
          <w:rFonts w:ascii="Sylfaen" w:hAnsi="Sylfaen" w:cs="Sylfaen"/>
          <w:sz w:val="23"/>
          <w:szCs w:val="23"/>
          <w:lang w:val="ka-GE"/>
        </w:rPr>
        <w:t>სიმსივნეების</w:t>
      </w:r>
      <w:r w:rsidRPr="007602F9">
        <w:rPr>
          <w:sz w:val="23"/>
          <w:szCs w:val="23"/>
          <w:lang w:val="ka-GE"/>
        </w:rPr>
        <w:t xml:space="preserve"> </w:t>
      </w:r>
      <w:r w:rsidRPr="007602F9">
        <w:rPr>
          <w:rFonts w:ascii="Sylfaen" w:hAnsi="Sylfaen" w:cs="Sylfaen"/>
          <w:sz w:val="23"/>
          <w:szCs w:val="23"/>
          <w:lang w:val="ka-GE"/>
        </w:rPr>
        <w:t>მთლიან</w:t>
      </w:r>
      <w:r w:rsidRPr="007602F9">
        <w:rPr>
          <w:sz w:val="23"/>
          <w:szCs w:val="23"/>
          <w:lang w:val="ka-GE"/>
        </w:rPr>
        <w:t xml:space="preserve"> </w:t>
      </w:r>
      <w:r w:rsidRPr="007602F9">
        <w:rPr>
          <w:rFonts w:ascii="Sylfaen" w:hAnsi="Sylfaen" w:cs="Sylfaen"/>
          <w:sz w:val="23"/>
          <w:szCs w:val="23"/>
          <w:lang w:val="ka-GE"/>
        </w:rPr>
        <w:t>რაოდენობაში</w:t>
      </w:r>
      <w:r w:rsidRPr="007602F9">
        <w:rPr>
          <w:sz w:val="23"/>
          <w:szCs w:val="23"/>
          <w:lang w:val="ka-GE"/>
        </w:rPr>
        <w:t xml:space="preserve"> </w:t>
      </w:r>
      <w:r w:rsidRPr="007602F9">
        <w:rPr>
          <w:rFonts w:ascii="Calibri" w:hAnsi="Calibri" w:cs="Calibri"/>
          <w:sz w:val="23"/>
          <w:szCs w:val="23"/>
          <w:lang w:val="ka-GE"/>
        </w:rPr>
        <w:t>50%-</w:t>
      </w:r>
      <w:r w:rsidRPr="007602F9">
        <w:rPr>
          <w:rFonts w:ascii="Sylfaen" w:hAnsi="Sylfaen" w:cs="Sylfaen"/>
          <w:sz w:val="23"/>
          <w:szCs w:val="23"/>
          <w:lang w:val="ka-GE"/>
        </w:rPr>
        <w:t>სა</w:t>
      </w:r>
      <w:r w:rsidRPr="007602F9">
        <w:rPr>
          <w:sz w:val="23"/>
          <w:szCs w:val="23"/>
          <w:lang w:val="ka-GE"/>
        </w:rPr>
        <w:t xml:space="preserve"> </w:t>
      </w:r>
      <w:r w:rsidRPr="007602F9">
        <w:rPr>
          <w:rFonts w:ascii="Sylfaen" w:hAnsi="Sylfaen" w:cs="Sylfaen"/>
          <w:sz w:val="23"/>
          <w:szCs w:val="23"/>
          <w:lang w:val="ka-GE"/>
        </w:rPr>
        <w:t>და</w:t>
      </w:r>
      <w:r w:rsidRPr="007602F9">
        <w:rPr>
          <w:sz w:val="23"/>
          <w:szCs w:val="23"/>
          <w:lang w:val="ka-GE"/>
        </w:rPr>
        <w:t xml:space="preserve"> </w:t>
      </w:r>
      <w:r w:rsidRPr="007602F9">
        <w:rPr>
          <w:rFonts w:ascii="Calibri" w:hAnsi="Calibri" w:cs="Calibri"/>
          <w:sz w:val="23"/>
          <w:szCs w:val="23"/>
          <w:lang w:val="ka-GE"/>
        </w:rPr>
        <w:t>46.2%-</w:t>
      </w:r>
      <w:r w:rsidRPr="007602F9">
        <w:rPr>
          <w:rFonts w:ascii="Sylfaen" w:hAnsi="Sylfaen" w:cs="Sylfaen"/>
          <w:sz w:val="23"/>
          <w:szCs w:val="23"/>
          <w:lang w:val="ka-GE"/>
        </w:rPr>
        <w:t>ს</w:t>
      </w:r>
      <w:r w:rsidRPr="007602F9">
        <w:rPr>
          <w:sz w:val="23"/>
          <w:szCs w:val="23"/>
          <w:lang w:val="ka-GE"/>
        </w:rPr>
        <w:t xml:space="preserve"> </w:t>
      </w:r>
      <w:r w:rsidRPr="007602F9">
        <w:rPr>
          <w:rFonts w:ascii="Sylfaen" w:hAnsi="Sylfaen" w:cs="Sylfaen"/>
          <w:sz w:val="23"/>
          <w:szCs w:val="23"/>
          <w:lang w:val="ka-GE"/>
        </w:rPr>
        <w:t>შეადგენს</w:t>
      </w:r>
      <w:r w:rsidRPr="007602F9">
        <w:rPr>
          <w:rFonts w:ascii="Calibri" w:hAnsi="Calibri" w:cs="Calibri"/>
          <w:sz w:val="23"/>
          <w:szCs w:val="23"/>
          <w:lang w:val="ka-GE"/>
        </w:rPr>
        <w:t xml:space="preserve">, </w:t>
      </w:r>
      <w:r w:rsidRPr="007602F9">
        <w:rPr>
          <w:rFonts w:ascii="Sylfaen" w:hAnsi="Sylfaen" w:cs="Sylfaen"/>
          <w:sz w:val="23"/>
          <w:szCs w:val="23"/>
          <w:lang w:val="ka-GE"/>
        </w:rPr>
        <w:t>შესაბამისად</w:t>
      </w:r>
      <w:r w:rsidRPr="007602F9">
        <w:rPr>
          <w:rFonts w:ascii="Calibri" w:hAnsi="Calibri" w:cs="Calibri"/>
          <w:sz w:val="23"/>
          <w:szCs w:val="23"/>
          <w:lang w:val="ka-GE"/>
        </w:rPr>
        <w:t>.</w:t>
      </w:r>
      <w:sdt>
        <w:sdtPr>
          <w:rPr>
            <w:rFonts w:ascii="Sylfaen" w:hAnsi="Sylfaen"/>
          </w:rPr>
          <w:id w:val="790333"/>
          <w:citation/>
        </w:sdtPr>
        <w:sdtEndPr/>
        <w:sdtContent>
          <w:r w:rsidR="007B0ED7">
            <w:rPr>
              <w:rFonts w:ascii="Sylfaen" w:hAnsi="Sylfaen"/>
            </w:rPr>
            <w:fldChar w:fldCharType="begin"/>
          </w:r>
          <w:r w:rsidR="00F81606" w:rsidRPr="00F81606">
            <w:rPr>
              <w:rFonts w:ascii="Sylfaen" w:hAnsi="Sylfaen"/>
              <w:lang w:val="ka-GE"/>
            </w:rPr>
            <w:instrText xml:space="preserve"> CITATION Nat17 \l 1033 </w:instrText>
          </w:r>
          <w:r w:rsidR="007B0ED7">
            <w:rPr>
              <w:rFonts w:ascii="Sylfaen" w:hAnsi="Sylfaen"/>
            </w:rPr>
            <w:fldChar w:fldCharType="separate"/>
          </w:r>
          <w:r w:rsidR="002F0AF2">
            <w:rPr>
              <w:rFonts w:ascii="Sylfaen" w:hAnsi="Sylfaen"/>
              <w:noProof/>
              <w:lang w:val="ka-GE"/>
            </w:rPr>
            <w:t xml:space="preserve"> </w:t>
          </w:r>
          <w:r w:rsidR="002F0AF2" w:rsidRPr="002F0AF2">
            <w:rPr>
              <w:rFonts w:ascii="Sylfaen" w:hAnsi="Sylfaen"/>
              <w:noProof/>
              <w:lang w:val="ka-GE"/>
            </w:rPr>
            <w:t>(National Center for Disease Control and Public Health, 2017)</w:t>
          </w:r>
          <w:r w:rsidR="007B0ED7">
            <w:rPr>
              <w:rFonts w:ascii="Sylfaen" w:hAnsi="Sylfaen"/>
            </w:rPr>
            <w:fldChar w:fldCharType="end"/>
          </w:r>
        </w:sdtContent>
      </w:sdt>
      <w:r>
        <w:rPr>
          <w:rFonts w:ascii="Sylfaen" w:hAnsi="Sylfaen"/>
          <w:lang w:val="ka-GE"/>
        </w:rPr>
        <w:t>.</w:t>
      </w:r>
    </w:p>
    <w:p w:rsidR="007602F9" w:rsidRDefault="007602F9" w:rsidP="007602F9">
      <w:pPr>
        <w:jc w:val="both"/>
        <w:rPr>
          <w:rFonts w:ascii="Sylfaen" w:hAnsi="Sylfaen"/>
          <w:lang w:val="ka-GE"/>
        </w:rPr>
      </w:pPr>
      <w:r w:rsidRPr="007602F9">
        <w:rPr>
          <w:rFonts w:ascii="Sylfaen" w:hAnsi="Sylfaen"/>
          <w:lang w:val="ka-GE"/>
        </w:rPr>
        <w:t xml:space="preserve">2011 </w:t>
      </w:r>
      <w:r w:rsidRPr="007602F9">
        <w:rPr>
          <w:rFonts w:ascii="Sylfaen" w:hAnsi="Sylfaen" w:cs="Sylfaen"/>
          <w:lang w:val="ka-GE"/>
        </w:rPr>
        <w:t>წლიდან</w:t>
      </w:r>
      <w:r w:rsidRPr="007602F9">
        <w:rPr>
          <w:rFonts w:ascii="Sylfaen" w:hAnsi="Sylfaen"/>
          <w:lang w:val="ka-GE"/>
        </w:rPr>
        <w:t xml:space="preserve"> </w:t>
      </w:r>
      <w:r>
        <w:rPr>
          <w:rFonts w:ascii="Sylfaen" w:hAnsi="Sylfaen" w:cs="Sylfaen"/>
          <w:lang w:val="ka-GE"/>
        </w:rPr>
        <w:t>საქართველოში</w:t>
      </w:r>
      <w:r w:rsidRPr="007602F9">
        <w:rPr>
          <w:rFonts w:ascii="Sylfaen" w:hAnsi="Sylfaen"/>
          <w:lang w:val="ka-GE"/>
        </w:rPr>
        <w:t xml:space="preserve"> </w:t>
      </w:r>
      <w:r w:rsidRPr="007602F9">
        <w:rPr>
          <w:rFonts w:ascii="Sylfaen" w:hAnsi="Sylfaen" w:cs="Sylfaen"/>
          <w:lang w:val="ka-GE"/>
        </w:rPr>
        <w:t>მოქმედებს</w:t>
      </w:r>
      <w:r w:rsidRPr="007602F9">
        <w:rPr>
          <w:rFonts w:ascii="Sylfaen" w:hAnsi="Sylfaen"/>
          <w:lang w:val="ka-GE"/>
        </w:rPr>
        <w:t xml:space="preserve"> </w:t>
      </w:r>
      <w:r w:rsidRPr="007602F9">
        <w:rPr>
          <w:rFonts w:ascii="Sylfaen" w:hAnsi="Sylfaen" w:cs="Sylfaen"/>
          <w:lang w:val="ka-GE"/>
        </w:rPr>
        <w:t>კიბოს</w:t>
      </w:r>
      <w:r w:rsidRPr="007602F9">
        <w:rPr>
          <w:rFonts w:ascii="Sylfaen" w:hAnsi="Sylfaen"/>
          <w:lang w:val="ka-GE"/>
        </w:rPr>
        <w:t xml:space="preserve"> </w:t>
      </w:r>
      <w:r w:rsidR="0029489F">
        <w:rPr>
          <w:rFonts w:ascii="Sylfaen" w:hAnsi="Sylfaen"/>
          <w:lang w:val="ka-GE"/>
        </w:rPr>
        <w:t xml:space="preserve">4 </w:t>
      </w:r>
      <w:r w:rsidRPr="007602F9">
        <w:rPr>
          <w:rFonts w:ascii="Sylfaen" w:hAnsi="Sylfaen" w:cs="Sylfaen"/>
          <w:lang w:val="ka-GE"/>
        </w:rPr>
        <w:t>სკრინინგ</w:t>
      </w:r>
      <w:r w:rsidRPr="007602F9">
        <w:rPr>
          <w:rFonts w:ascii="Sylfaen" w:hAnsi="Sylfaen"/>
          <w:lang w:val="ka-GE"/>
        </w:rPr>
        <w:t>-</w:t>
      </w:r>
      <w:r w:rsidR="0029489F">
        <w:rPr>
          <w:rFonts w:ascii="Sylfaen" w:hAnsi="Sylfaen" w:cs="Sylfaen"/>
          <w:lang w:val="ka-GE"/>
        </w:rPr>
        <w:t>პროგრამა</w:t>
      </w:r>
      <w:r w:rsidRPr="007602F9">
        <w:rPr>
          <w:rFonts w:ascii="Sylfaen" w:hAnsi="Sylfaen"/>
          <w:lang w:val="ka-GE"/>
        </w:rPr>
        <w:t xml:space="preserve">, </w:t>
      </w:r>
      <w:r w:rsidRPr="007602F9">
        <w:rPr>
          <w:rFonts w:ascii="Sylfaen" w:hAnsi="Sylfaen" w:cs="Sylfaen"/>
          <w:lang w:val="ka-GE"/>
        </w:rPr>
        <w:t>მიზნობრივი</w:t>
      </w:r>
      <w:r w:rsidRPr="007602F9">
        <w:rPr>
          <w:rFonts w:ascii="Sylfaen" w:hAnsi="Sylfaen"/>
          <w:lang w:val="ka-GE"/>
        </w:rPr>
        <w:t xml:space="preserve"> </w:t>
      </w:r>
      <w:r w:rsidR="0029489F">
        <w:rPr>
          <w:rFonts w:ascii="Sylfaen" w:hAnsi="Sylfaen" w:cs="Sylfaen"/>
          <w:lang w:val="ka-GE"/>
        </w:rPr>
        <w:t>პოპულაციისთვის</w:t>
      </w:r>
      <w:r w:rsidRPr="007602F9">
        <w:rPr>
          <w:rFonts w:ascii="Sylfaen" w:hAnsi="Sylfaen"/>
          <w:lang w:val="ka-GE"/>
        </w:rPr>
        <w:t>:</w:t>
      </w:r>
      <w:r w:rsidR="0029489F">
        <w:rPr>
          <w:rFonts w:ascii="Sylfaen" w:hAnsi="Sylfaen"/>
          <w:lang w:val="ka-GE"/>
        </w:rPr>
        <w:t xml:space="preserve"> </w:t>
      </w:r>
      <w:r w:rsidRPr="007602F9">
        <w:rPr>
          <w:rFonts w:ascii="Sylfaen" w:hAnsi="Sylfaen" w:cs="Sylfaen"/>
          <w:lang w:val="ka-GE"/>
        </w:rPr>
        <w:t>ძუძუს</w:t>
      </w:r>
      <w:r w:rsidRPr="007602F9">
        <w:rPr>
          <w:rFonts w:ascii="Sylfaen" w:hAnsi="Sylfaen"/>
          <w:lang w:val="ka-GE"/>
        </w:rPr>
        <w:t xml:space="preserve"> </w:t>
      </w:r>
      <w:r w:rsidRPr="007602F9">
        <w:rPr>
          <w:rFonts w:ascii="Sylfaen" w:hAnsi="Sylfaen" w:cs="Sylfaen"/>
          <w:lang w:val="ka-GE"/>
        </w:rPr>
        <w:t>კიბოს</w:t>
      </w:r>
      <w:r w:rsidRPr="007602F9">
        <w:rPr>
          <w:rFonts w:ascii="Sylfaen" w:hAnsi="Sylfaen"/>
          <w:lang w:val="ka-GE"/>
        </w:rPr>
        <w:t xml:space="preserve"> </w:t>
      </w:r>
      <w:r w:rsidRPr="007602F9">
        <w:rPr>
          <w:rFonts w:ascii="Sylfaen" w:hAnsi="Sylfaen" w:cs="Sylfaen"/>
          <w:lang w:val="ka-GE"/>
        </w:rPr>
        <w:t>სკრინინგი</w:t>
      </w:r>
      <w:r w:rsidRPr="007602F9">
        <w:rPr>
          <w:rFonts w:ascii="Sylfaen" w:hAnsi="Sylfaen"/>
          <w:lang w:val="ka-GE"/>
        </w:rPr>
        <w:t xml:space="preserve"> 40-70 </w:t>
      </w:r>
      <w:r w:rsidRPr="007602F9">
        <w:rPr>
          <w:rFonts w:ascii="Sylfaen" w:hAnsi="Sylfaen" w:cs="Sylfaen"/>
          <w:lang w:val="ka-GE"/>
        </w:rPr>
        <w:t>წლის</w:t>
      </w:r>
      <w:r w:rsidRPr="007602F9">
        <w:rPr>
          <w:rFonts w:ascii="Sylfaen" w:hAnsi="Sylfaen"/>
          <w:lang w:val="ka-GE"/>
        </w:rPr>
        <w:t xml:space="preserve"> </w:t>
      </w:r>
      <w:r w:rsidRPr="007602F9">
        <w:rPr>
          <w:rFonts w:ascii="Sylfaen" w:hAnsi="Sylfaen" w:cs="Sylfaen"/>
          <w:lang w:val="ka-GE"/>
        </w:rPr>
        <w:t>ქალებისთვის</w:t>
      </w:r>
      <w:r w:rsidRPr="007602F9">
        <w:rPr>
          <w:rFonts w:ascii="Sylfaen" w:hAnsi="Sylfaen"/>
          <w:lang w:val="ka-GE"/>
        </w:rPr>
        <w:t>;</w:t>
      </w:r>
      <w:r w:rsidR="0029489F">
        <w:rPr>
          <w:rFonts w:ascii="Sylfaen" w:hAnsi="Sylfaen"/>
          <w:lang w:val="ka-GE"/>
        </w:rPr>
        <w:t xml:space="preserve"> </w:t>
      </w:r>
      <w:r w:rsidRPr="007602F9">
        <w:rPr>
          <w:rFonts w:ascii="Sylfaen" w:hAnsi="Sylfaen" w:cs="Sylfaen"/>
          <w:lang w:val="ka-GE"/>
        </w:rPr>
        <w:t>საშვილოსნოს</w:t>
      </w:r>
      <w:r w:rsidRPr="007602F9">
        <w:rPr>
          <w:rFonts w:ascii="Sylfaen" w:hAnsi="Sylfaen"/>
          <w:lang w:val="ka-GE"/>
        </w:rPr>
        <w:t xml:space="preserve"> </w:t>
      </w:r>
      <w:r w:rsidRPr="007602F9">
        <w:rPr>
          <w:rFonts w:ascii="Sylfaen" w:hAnsi="Sylfaen" w:cs="Sylfaen"/>
          <w:lang w:val="ka-GE"/>
        </w:rPr>
        <w:t>ყელის</w:t>
      </w:r>
      <w:r w:rsidRPr="007602F9">
        <w:rPr>
          <w:rFonts w:ascii="Sylfaen" w:hAnsi="Sylfaen"/>
          <w:lang w:val="ka-GE"/>
        </w:rPr>
        <w:t xml:space="preserve"> </w:t>
      </w:r>
      <w:r w:rsidRPr="007602F9">
        <w:rPr>
          <w:rFonts w:ascii="Sylfaen" w:hAnsi="Sylfaen" w:cs="Sylfaen"/>
          <w:lang w:val="ka-GE"/>
        </w:rPr>
        <w:t>კიბოს</w:t>
      </w:r>
      <w:r w:rsidRPr="007602F9">
        <w:rPr>
          <w:rFonts w:ascii="Sylfaen" w:hAnsi="Sylfaen"/>
          <w:lang w:val="ka-GE"/>
        </w:rPr>
        <w:t xml:space="preserve"> </w:t>
      </w:r>
      <w:r w:rsidRPr="007602F9">
        <w:rPr>
          <w:rFonts w:ascii="Sylfaen" w:hAnsi="Sylfaen" w:cs="Sylfaen"/>
          <w:lang w:val="ka-GE"/>
        </w:rPr>
        <w:t>სკრინინგი</w:t>
      </w:r>
      <w:r w:rsidRPr="007602F9">
        <w:rPr>
          <w:rFonts w:ascii="Sylfaen" w:hAnsi="Sylfaen"/>
          <w:lang w:val="ka-GE"/>
        </w:rPr>
        <w:t xml:space="preserve"> 25-60 </w:t>
      </w:r>
      <w:r w:rsidRPr="007602F9">
        <w:rPr>
          <w:rFonts w:ascii="Sylfaen" w:hAnsi="Sylfaen" w:cs="Sylfaen"/>
          <w:lang w:val="ka-GE"/>
        </w:rPr>
        <w:t>წლის</w:t>
      </w:r>
      <w:r w:rsidRPr="007602F9">
        <w:rPr>
          <w:rFonts w:ascii="Sylfaen" w:hAnsi="Sylfaen"/>
          <w:lang w:val="ka-GE"/>
        </w:rPr>
        <w:t xml:space="preserve"> </w:t>
      </w:r>
      <w:r w:rsidRPr="007602F9">
        <w:rPr>
          <w:rFonts w:ascii="Sylfaen" w:hAnsi="Sylfaen" w:cs="Sylfaen"/>
          <w:lang w:val="ka-GE"/>
        </w:rPr>
        <w:t>ქალებისთვის</w:t>
      </w:r>
      <w:r w:rsidRPr="007602F9">
        <w:rPr>
          <w:rFonts w:ascii="Sylfaen" w:hAnsi="Sylfaen"/>
          <w:lang w:val="ka-GE"/>
        </w:rPr>
        <w:t>;</w:t>
      </w:r>
      <w:r w:rsidR="0029489F">
        <w:rPr>
          <w:rFonts w:ascii="Sylfaen" w:hAnsi="Sylfaen"/>
          <w:lang w:val="ka-GE"/>
        </w:rPr>
        <w:t xml:space="preserve"> </w:t>
      </w:r>
      <w:r w:rsidRPr="007602F9">
        <w:rPr>
          <w:rFonts w:ascii="Sylfaen" w:hAnsi="Sylfaen" w:cs="Sylfaen"/>
          <w:lang w:val="ka-GE"/>
        </w:rPr>
        <w:t>პროსტატის</w:t>
      </w:r>
      <w:r w:rsidRPr="007602F9">
        <w:rPr>
          <w:rFonts w:ascii="Sylfaen" w:hAnsi="Sylfaen"/>
          <w:lang w:val="ka-GE"/>
        </w:rPr>
        <w:t xml:space="preserve"> </w:t>
      </w:r>
      <w:r w:rsidRPr="007602F9">
        <w:rPr>
          <w:rFonts w:ascii="Sylfaen" w:hAnsi="Sylfaen" w:cs="Sylfaen"/>
          <w:lang w:val="ka-GE"/>
        </w:rPr>
        <w:t>კიბოს</w:t>
      </w:r>
      <w:r w:rsidRPr="007602F9">
        <w:rPr>
          <w:rFonts w:ascii="Sylfaen" w:hAnsi="Sylfaen"/>
          <w:lang w:val="ka-GE"/>
        </w:rPr>
        <w:t xml:space="preserve"> </w:t>
      </w:r>
      <w:r w:rsidRPr="007602F9">
        <w:rPr>
          <w:rFonts w:ascii="Sylfaen" w:hAnsi="Sylfaen" w:cs="Sylfaen"/>
          <w:lang w:val="ka-GE"/>
        </w:rPr>
        <w:t>სკრინინგი</w:t>
      </w:r>
      <w:r w:rsidRPr="007602F9">
        <w:rPr>
          <w:rFonts w:ascii="Sylfaen" w:hAnsi="Sylfaen"/>
          <w:lang w:val="ka-GE"/>
        </w:rPr>
        <w:t xml:space="preserve"> 50-70 </w:t>
      </w:r>
      <w:r w:rsidRPr="007602F9">
        <w:rPr>
          <w:rFonts w:ascii="Sylfaen" w:hAnsi="Sylfaen" w:cs="Sylfaen"/>
          <w:lang w:val="ka-GE"/>
        </w:rPr>
        <w:t>წლის</w:t>
      </w:r>
      <w:r w:rsidRPr="007602F9">
        <w:rPr>
          <w:rFonts w:ascii="Sylfaen" w:hAnsi="Sylfaen"/>
          <w:lang w:val="ka-GE"/>
        </w:rPr>
        <w:t xml:space="preserve"> </w:t>
      </w:r>
      <w:r w:rsidRPr="007602F9">
        <w:rPr>
          <w:rFonts w:ascii="Sylfaen" w:hAnsi="Sylfaen" w:cs="Sylfaen"/>
          <w:lang w:val="ka-GE"/>
        </w:rPr>
        <w:t>კაცებისთვის</w:t>
      </w:r>
      <w:r w:rsidRPr="007602F9">
        <w:rPr>
          <w:rFonts w:ascii="Sylfaen" w:hAnsi="Sylfaen"/>
          <w:lang w:val="ka-GE"/>
        </w:rPr>
        <w:t>;</w:t>
      </w:r>
      <w:r w:rsidR="0029489F">
        <w:rPr>
          <w:rFonts w:ascii="Sylfaen" w:hAnsi="Sylfaen"/>
          <w:lang w:val="ka-GE"/>
        </w:rPr>
        <w:t xml:space="preserve"> </w:t>
      </w:r>
      <w:r w:rsidRPr="007602F9">
        <w:rPr>
          <w:rFonts w:ascii="Sylfaen" w:hAnsi="Sylfaen" w:cs="Sylfaen"/>
          <w:lang w:val="ka-GE"/>
        </w:rPr>
        <w:t>კოლორექტული</w:t>
      </w:r>
      <w:r w:rsidRPr="007602F9">
        <w:rPr>
          <w:rFonts w:ascii="Sylfaen" w:hAnsi="Sylfaen"/>
          <w:lang w:val="ka-GE"/>
        </w:rPr>
        <w:t xml:space="preserve"> </w:t>
      </w:r>
      <w:r w:rsidRPr="007602F9">
        <w:rPr>
          <w:rFonts w:ascii="Sylfaen" w:hAnsi="Sylfaen" w:cs="Sylfaen"/>
          <w:lang w:val="ka-GE"/>
        </w:rPr>
        <w:t>კიბოს</w:t>
      </w:r>
      <w:r w:rsidRPr="007602F9">
        <w:rPr>
          <w:rFonts w:ascii="Sylfaen" w:hAnsi="Sylfaen"/>
          <w:lang w:val="ka-GE"/>
        </w:rPr>
        <w:t xml:space="preserve"> </w:t>
      </w:r>
      <w:r w:rsidRPr="007602F9">
        <w:rPr>
          <w:rFonts w:ascii="Sylfaen" w:hAnsi="Sylfaen" w:cs="Sylfaen"/>
          <w:lang w:val="ka-GE"/>
        </w:rPr>
        <w:t>სკრინინგი</w:t>
      </w:r>
      <w:r w:rsidRPr="007602F9">
        <w:rPr>
          <w:rFonts w:ascii="Sylfaen" w:hAnsi="Sylfaen"/>
          <w:lang w:val="ka-GE"/>
        </w:rPr>
        <w:t xml:space="preserve"> 50-70 </w:t>
      </w:r>
      <w:r w:rsidRPr="007602F9">
        <w:rPr>
          <w:rFonts w:ascii="Sylfaen" w:hAnsi="Sylfaen" w:cs="Sylfaen"/>
          <w:lang w:val="ka-GE"/>
        </w:rPr>
        <w:t>წლის</w:t>
      </w:r>
      <w:r w:rsidRPr="007602F9">
        <w:rPr>
          <w:rFonts w:ascii="Sylfaen" w:hAnsi="Sylfaen"/>
          <w:lang w:val="ka-GE"/>
        </w:rPr>
        <w:t xml:space="preserve"> </w:t>
      </w:r>
      <w:r w:rsidRPr="007602F9">
        <w:rPr>
          <w:rFonts w:ascii="Sylfaen" w:hAnsi="Sylfaen" w:cs="Sylfaen"/>
          <w:lang w:val="ka-GE"/>
        </w:rPr>
        <w:t>მოსახლეობისთვის</w:t>
      </w:r>
      <w:r w:rsidRPr="007602F9">
        <w:rPr>
          <w:rFonts w:ascii="Sylfaen" w:hAnsi="Sylfaen"/>
          <w:lang w:val="ka-GE"/>
        </w:rPr>
        <w:t>.</w:t>
      </w:r>
      <w:r w:rsidR="0029489F">
        <w:rPr>
          <w:rFonts w:ascii="Sylfaen" w:hAnsi="Sylfaen"/>
          <w:lang w:val="ka-GE"/>
        </w:rPr>
        <w:t xml:space="preserve"> </w:t>
      </w:r>
      <w:r>
        <w:rPr>
          <w:rFonts w:ascii="Sylfaen" w:hAnsi="Sylfaen"/>
          <w:lang w:val="ka-GE"/>
        </w:rPr>
        <w:t xml:space="preserve">თუმცა, </w:t>
      </w:r>
      <w:r w:rsidRPr="007602F9">
        <w:rPr>
          <w:rFonts w:ascii="Sylfaen" w:hAnsi="Sylfaen"/>
          <w:lang w:val="ka-GE"/>
        </w:rPr>
        <w:t>„</w:t>
      </w:r>
      <w:r w:rsidRPr="007602F9">
        <w:rPr>
          <w:rFonts w:ascii="Sylfaen" w:hAnsi="Sylfaen" w:cs="Sylfaen"/>
          <w:lang w:val="ka-GE"/>
        </w:rPr>
        <w:t>არაგადამდებ</w:t>
      </w:r>
      <w:r w:rsidRPr="007602F9">
        <w:rPr>
          <w:rFonts w:ascii="Sylfaen" w:hAnsi="Sylfaen"/>
          <w:lang w:val="ka-GE"/>
        </w:rPr>
        <w:t xml:space="preserve"> </w:t>
      </w:r>
      <w:r w:rsidRPr="007602F9">
        <w:rPr>
          <w:rFonts w:ascii="Sylfaen" w:hAnsi="Sylfaen" w:cs="Sylfaen"/>
          <w:lang w:val="ka-GE"/>
        </w:rPr>
        <w:t>დაავადებათა</w:t>
      </w:r>
      <w:r w:rsidRPr="007602F9">
        <w:rPr>
          <w:rFonts w:ascii="Sylfaen" w:hAnsi="Sylfaen"/>
          <w:lang w:val="ka-GE"/>
        </w:rPr>
        <w:t xml:space="preserve"> </w:t>
      </w:r>
      <w:r w:rsidRPr="007602F9">
        <w:rPr>
          <w:rFonts w:ascii="Sylfaen" w:hAnsi="Sylfaen" w:cs="Sylfaen"/>
          <w:lang w:val="ka-GE"/>
        </w:rPr>
        <w:t>რისკ</w:t>
      </w:r>
      <w:r w:rsidRPr="007602F9">
        <w:rPr>
          <w:rFonts w:ascii="Sylfaen" w:hAnsi="Sylfaen"/>
          <w:lang w:val="ka-GE"/>
        </w:rPr>
        <w:t>-</w:t>
      </w:r>
      <w:r w:rsidRPr="007602F9">
        <w:rPr>
          <w:rFonts w:ascii="Sylfaen" w:hAnsi="Sylfaen" w:cs="Sylfaen"/>
          <w:lang w:val="ka-GE"/>
        </w:rPr>
        <w:t>ფაქტორების</w:t>
      </w:r>
      <w:r w:rsidRPr="007602F9">
        <w:rPr>
          <w:rFonts w:ascii="Sylfaen" w:hAnsi="Sylfaen"/>
          <w:lang w:val="ka-GE"/>
        </w:rPr>
        <w:t xml:space="preserve"> </w:t>
      </w:r>
      <w:r w:rsidRPr="007602F9">
        <w:rPr>
          <w:rFonts w:ascii="Sylfaen" w:hAnsi="Sylfaen" w:cs="Sylfaen"/>
          <w:lang w:val="ka-GE"/>
        </w:rPr>
        <w:t>კვლევის</w:t>
      </w:r>
      <w:r w:rsidRPr="007602F9">
        <w:rPr>
          <w:rFonts w:ascii="Sylfaen" w:hAnsi="Sylfaen"/>
          <w:lang w:val="ka-GE"/>
        </w:rPr>
        <w:t>“ (</w:t>
      </w:r>
      <w:r w:rsidRPr="004C4DF1">
        <w:rPr>
          <w:rFonts w:ascii="Sylfaen" w:hAnsi="Sylfaen"/>
          <w:lang w:val="ka-GE"/>
        </w:rPr>
        <w:t>STEPS-2016)</w:t>
      </w:r>
      <w:r w:rsidRPr="007602F9">
        <w:rPr>
          <w:rFonts w:ascii="Sylfaen" w:hAnsi="Sylfaen"/>
          <w:lang w:val="ka-GE"/>
        </w:rPr>
        <w:t xml:space="preserve"> </w:t>
      </w:r>
      <w:r w:rsidRPr="007602F9">
        <w:rPr>
          <w:rFonts w:ascii="Sylfaen" w:hAnsi="Sylfaen" w:cs="Sylfaen"/>
          <w:lang w:val="ka-GE"/>
        </w:rPr>
        <w:t>მონაცემებით</w:t>
      </w:r>
      <w:r w:rsidRPr="007602F9">
        <w:rPr>
          <w:rFonts w:ascii="Sylfaen" w:hAnsi="Sylfaen"/>
          <w:lang w:val="ka-GE"/>
        </w:rPr>
        <w:t xml:space="preserve"> </w:t>
      </w:r>
      <w:r w:rsidRPr="007602F9">
        <w:rPr>
          <w:rFonts w:ascii="Sylfaen" w:hAnsi="Sylfaen" w:cs="Sylfaen"/>
          <w:lang w:val="ka-GE"/>
        </w:rPr>
        <w:t>საშვილოსნოს</w:t>
      </w:r>
      <w:r w:rsidRPr="007602F9">
        <w:rPr>
          <w:rFonts w:ascii="Sylfaen" w:hAnsi="Sylfaen"/>
          <w:lang w:val="ka-GE"/>
        </w:rPr>
        <w:t xml:space="preserve"> </w:t>
      </w:r>
      <w:r w:rsidRPr="007602F9">
        <w:rPr>
          <w:rFonts w:ascii="Sylfaen" w:hAnsi="Sylfaen" w:cs="Sylfaen"/>
          <w:lang w:val="ka-GE"/>
        </w:rPr>
        <w:t>ყელის</w:t>
      </w:r>
      <w:r w:rsidRPr="007602F9">
        <w:rPr>
          <w:rFonts w:ascii="Sylfaen" w:hAnsi="Sylfaen"/>
          <w:lang w:val="ka-GE"/>
        </w:rPr>
        <w:t xml:space="preserve"> </w:t>
      </w:r>
      <w:r w:rsidRPr="007602F9">
        <w:rPr>
          <w:rFonts w:ascii="Sylfaen" w:hAnsi="Sylfaen" w:cs="Sylfaen"/>
          <w:lang w:val="ka-GE"/>
        </w:rPr>
        <w:t>კიბოს</w:t>
      </w:r>
      <w:r w:rsidRPr="007602F9">
        <w:rPr>
          <w:rFonts w:ascii="Sylfaen" w:hAnsi="Sylfaen"/>
          <w:lang w:val="ka-GE"/>
        </w:rPr>
        <w:t xml:space="preserve"> </w:t>
      </w:r>
      <w:r w:rsidRPr="007602F9">
        <w:rPr>
          <w:rFonts w:ascii="Sylfaen" w:hAnsi="Sylfaen" w:cs="Sylfaen"/>
          <w:lang w:val="ka-GE"/>
        </w:rPr>
        <w:t>სკრინინგი</w:t>
      </w:r>
      <w:r w:rsidR="00DF76A3">
        <w:rPr>
          <w:rFonts w:ascii="Sylfaen" w:hAnsi="Sylfaen" w:cs="Sylfaen"/>
          <w:lang w:val="ka-GE"/>
        </w:rPr>
        <w:t>,</w:t>
      </w:r>
      <w:r w:rsidRPr="007602F9">
        <w:rPr>
          <w:rFonts w:ascii="Sylfaen" w:hAnsi="Sylfaen"/>
          <w:lang w:val="ka-GE"/>
        </w:rPr>
        <w:t xml:space="preserve"> </w:t>
      </w:r>
      <w:r w:rsidRPr="007602F9">
        <w:rPr>
          <w:rFonts w:ascii="Sylfaen" w:hAnsi="Sylfaen" w:cs="Sylfaen"/>
          <w:lang w:val="ka-GE"/>
        </w:rPr>
        <w:t>სიცოცხლის</w:t>
      </w:r>
      <w:r w:rsidRPr="007602F9">
        <w:rPr>
          <w:rFonts w:ascii="Sylfaen" w:hAnsi="Sylfaen"/>
          <w:lang w:val="ka-GE"/>
        </w:rPr>
        <w:t xml:space="preserve"> </w:t>
      </w:r>
      <w:r w:rsidRPr="007602F9">
        <w:rPr>
          <w:rFonts w:ascii="Sylfaen" w:hAnsi="Sylfaen" w:cs="Sylfaen"/>
          <w:lang w:val="ka-GE"/>
        </w:rPr>
        <w:t>განმავლობაში</w:t>
      </w:r>
      <w:r w:rsidR="00DF76A3">
        <w:rPr>
          <w:rFonts w:ascii="Sylfaen" w:hAnsi="Sylfaen" w:cs="Sylfaen"/>
          <w:lang w:val="ka-GE"/>
        </w:rPr>
        <w:t>,</w:t>
      </w:r>
      <w:r w:rsidRPr="007602F9">
        <w:rPr>
          <w:rFonts w:ascii="Sylfaen" w:hAnsi="Sylfaen"/>
          <w:lang w:val="ka-GE"/>
        </w:rPr>
        <w:t xml:space="preserve"> 30-49 </w:t>
      </w:r>
      <w:r w:rsidRPr="007602F9">
        <w:rPr>
          <w:rFonts w:ascii="Sylfaen" w:hAnsi="Sylfaen" w:cs="Sylfaen"/>
          <w:lang w:val="ka-GE"/>
        </w:rPr>
        <w:t>წლის</w:t>
      </w:r>
      <w:r w:rsidRPr="007602F9">
        <w:rPr>
          <w:rFonts w:ascii="Sylfaen" w:hAnsi="Sylfaen"/>
          <w:lang w:val="ka-GE"/>
        </w:rPr>
        <w:t xml:space="preserve"> </w:t>
      </w:r>
      <w:r w:rsidRPr="007602F9">
        <w:rPr>
          <w:rFonts w:ascii="Sylfaen" w:hAnsi="Sylfaen" w:cs="Sylfaen"/>
          <w:lang w:val="ka-GE"/>
        </w:rPr>
        <w:t>ქალთა</w:t>
      </w:r>
      <w:r w:rsidRPr="007602F9">
        <w:rPr>
          <w:rFonts w:ascii="Sylfaen" w:hAnsi="Sylfaen"/>
          <w:lang w:val="ka-GE"/>
        </w:rPr>
        <w:t xml:space="preserve"> </w:t>
      </w:r>
      <w:r w:rsidRPr="007602F9">
        <w:rPr>
          <w:rFonts w:ascii="Sylfaen" w:hAnsi="Sylfaen" w:cs="Sylfaen"/>
          <w:lang w:val="ka-GE"/>
        </w:rPr>
        <w:t>მხოლოდ</w:t>
      </w:r>
      <w:r w:rsidRPr="007602F9">
        <w:rPr>
          <w:rFonts w:ascii="Sylfaen" w:hAnsi="Sylfaen"/>
          <w:lang w:val="ka-GE"/>
        </w:rPr>
        <w:t xml:space="preserve"> 23.9%-</w:t>
      </w:r>
      <w:r w:rsidRPr="007602F9">
        <w:rPr>
          <w:rFonts w:ascii="Sylfaen" w:hAnsi="Sylfaen" w:cs="Sylfaen"/>
          <w:lang w:val="ka-GE"/>
        </w:rPr>
        <w:t>მა</w:t>
      </w:r>
      <w:r w:rsidRPr="007602F9">
        <w:rPr>
          <w:rFonts w:ascii="Sylfaen" w:hAnsi="Sylfaen"/>
          <w:lang w:val="ka-GE"/>
        </w:rPr>
        <w:t xml:space="preserve"> </w:t>
      </w:r>
      <w:r w:rsidRPr="007602F9">
        <w:rPr>
          <w:rFonts w:ascii="Sylfaen" w:hAnsi="Sylfaen" w:cs="Sylfaen"/>
          <w:lang w:val="ka-GE"/>
        </w:rPr>
        <w:t>ჩაიტარა</w:t>
      </w:r>
      <w:r w:rsidRPr="007602F9">
        <w:rPr>
          <w:rFonts w:ascii="Sylfaen" w:hAnsi="Sylfaen"/>
          <w:lang w:val="ka-GE"/>
        </w:rPr>
        <w:t>.</w:t>
      </w:r>
      <w:r>
        <w:rPr>
          <w:rFonts w:ascii="Sylfaen" w:hAnsi="Sylfaen"/>
          <w:lang w:val="ka-GE"/>
        </w:rPr>
        <w:t xml:space="preserve"> </w:t>
      </w:r>
    </w:p>
    <w:p w:rsidR="00644D9F" w:rsidRDefault="007C7EED" w:rsidP="00644D9F">
      <w:pPr>
        <w:jc w:val="both"/>
        <w:rPr>
          <w:rFonts w:ascii="Sylfaen" w:hAnsi="Sylfaen"/>
          <w:lang w:val="ka-GE"/>
        </w:rPr>
      </w:pPr>
      <w:r>
        <w:rPr>
          <w:rFonts w:ascii="Sylfaen" w:hAnsi="Sylfaen"/>
          <w:lang w:val="ka-GE"/>
        </w:rPr>
        <w:t xml:space="preserve">ყოველ წლიურად </w:t>
      </w:r>
      <w:r w:rsidR="0029489F">
        <w:rPr>
          <w:rFonts w:ascii="Sylfaen" w:hAnsi="Sylfaen"/>
          <w:lang w:val="ka-GE"/>
        </w:rPr>
        <w:t xml:space="preserve">მთელს </w:t>
      </w:r>
      <w:r w:rsidR="00644D9F">
        <w:rPr>
          <w:rFonts w:ascii="Sylfaen" w:hAnsi="Sylfaen"/>
          <w:lang w:val="ka-GE"/>
        </w:rPr>
        <w:t xml:space="preserve">მსოფლიოში საკვერცხის კიბოს </w:t>
      </w:r>
      <w:r w:rsidR="00644D9F" w:rsidRPr="00644D9F">
        <w:rPr>
          <w:rFonts w:ascii="Sylfaen" w:hAnsi="Sylfaen"/>
          <w:lang w:val="ka-GE"/>
        </w:rPr>
        <w:t xml:space="preserve">239,000 </w:t>
      </w:r>
      <w:r w:rsidR="00644D9F">
        <w:rPr>
          <w:rFonts w:ascii="Sylfaen" w:hAnsi="Sylfaen"/>
          <w:lang w:val="ka-GE"/>
        </w:rPr>
        <w:t xml:space="preserve">ახალი </w:t>
      </w:r>
      <w:r>
        <w:rPr>
          <w:rFonts w:ascii="Sylfaen" w:hAnsi="Sylfaen"/>
          <w:lang w:val="ka-GE"/>
        </w:rPr>
        <w:t xml:space="preserve">და </w:t>
      </w:r>
      <w:r w:rsidR="00644D9F">
        <w:rPr>
          <w:rFonts w:ascii="Sylfaen" w:hAnsi="Sylfaen"/>
          <w:lang w:val="ka-GE"/>
        </w:rPr>
        <w:t>152,000</w:t>
      </w:r>
      <w:r>
        <w:rPr>
          <w:rFonts w:ascii="Sylfaen" w:hAnsi="Sylfaen"/>
          <w:lang w:val="ka-GE"/>
        </w:rPr>
        <w:t xml:space="preserve"> ლეტალური შემთხვევა ფიქსირდება,</w:t>
      </w:r>
      <w:r w:rsidR="008F7B65">
        <w:rPr>
          <w:rFonts w:ascii="Sylfaen" w:hAnsi="Sylfaen"/>
          <w:lang w:val="ka-GE"/>
        </w:rPr>
        <w:t xml:space="preserve"> </w:t>
      </w:r>
      <w:r w:rsidR="008F7B65" w:rsidRPr="00381F5A">
        <w:rPr>
          <w:rFonts w:ascii="Sylfaen" w:hAnsi="Sylfaen"/>
          <w:lang w:val="ka-GE"/>
        </w:rPr>
        <w:t xml:space="preserve">იგი </w:t>
      </w:r>
      <w:r w:rsidRPr="00381F5A">
        <w:rPr>
          <w:rFonts w:ascii="Sylfaen" w:hAnsi="Sylfaen"/>
          <w:lang w:val="ka-GE"/>
        </w:rPr>
        <w:t xml:space="preserve">სიკვდილიანობით </w:t>
      </w:r>
      <w:r w:rsidR="008F7B65" w:rsidRPr="00381F5A">
        <w:rPr>
          <w:rFonts w:ascii="Sylfaen" w:hAnsi="Sylfaen"/>
          <w:lang w:val="ka-GE"/>
        </w:rPr>
        <w:t>პირველ ადგილზეა გინეკოლოგიურ სიმსივნეებს შორის</w:t>
      </w:r>
      <w:r w:rsidR="00644D9F" w:rsidRPr="00381F5A">
        <w:rPr>
          <w:rFonts w:ascii="Sylfaen" w:hAnsi="Sylfaen"/>
          <w:lang w:val="ka-GE"/>
        </w:rPr>
        <w:t>.</w:t>
      </w:r>
      <w:r w:rsidR="00644D9F">
        <w:rPr>
          <w:rFonts w:ascii="Sylfaen" w:hAnsi="Sylfaen"/>
          <w:lang w:val="ka-GE"/>
        </w:rPr>
        <w:t xml:space="preserve"> </w:t>
      </w:r>
      <w:r w:rsidR="00F81606">
        <w:rPr>
          <w:rFonts w:ascii="Sylfaen" w:hAnsi="Sylfaen"/>
          <w:lang w:val="ka-GE"/>
        </w:rPr>
        <w:t xml:space="preserve">საკვერცხის კიბო </w:t>
      </w:r>
      <w:r w:rsidR="00644D9F">
        <w:rPr>
          <w:rFonts w:ascii="Sylfaen" w:hAnsi="Sylfaen"/>
          <w:lang w:val="ka-GE"/>
        </w:rPr>
        <w:t>ყველაზე მაღალი სიხშირით გვხვდება აღმოსავლეთ და ცენტრალურ</w:t>
      </w:r>
      <w:r w:rsidR="0029489F">
        <w:rPr>
          <w:rFonts w:ascii="Sylfaen" w:hAnsi="Sylfaen"/>
          <w:lang w:val="ka-GE"/>
        </w:rPr>
        <w:t>ი</w:t>
      </w:r>
      <w:r w:rsidR="00644D9F">
        <w:rPr>
          <w:rFonts w:ascii="Sylfaen" w:hAnsi="Sylfaen"/>
          <w:lang w:val="ka-GE"/>
        </w:rPr>
        <w:t xml:space="preserve"> </w:t>
      </w:r>
      <w:r w:rsidR="0029489F">
        <w:rPr>
          <w:rFonts w:ascii="Sylfaen" w:hAnsi="Sylfaen"/>
          <w:lang w:val="ka-GE"/>
        </w:rPr>
        <w:t>ევროპის ქვეყნებში</w:t>
      </w:r>
      <w:r w:rsidR="00644D9F">
        <w:rPr>
          <w:rFonts w:ascii="Sylfaen" w:hAnsi="Sylfaen"/>
          <w:lang w:val="ka-GE"/>
        </w:rPr>
        <w:t xml:space="preserve"> (11.4</w:t>
      </w:r>
      <w:r w:rsidR="00F11796">
        <w:rPr>
          <w:rFonts w:ascii="Sylfaen" w:hAnsi="Sylfaen"/>
          <w:lang w:val="ka-GE"/>
        </w:rPr>
        <w:t xml:space="preserve"> ათასი</w:t>
      </w:r>
      <w:r w:rsidR="00644D9F">
        <w:rPr>
          <w:rFonts w:ascii="Sylfaen" w:hAnsi="Sylfaen"/>
          <w:lang w:val="ka-GE"/>
        </w:rPr>
        <w:t xml:space="preserve"> ყოველ 100,000 ადამიანზე და</w:t>
      </w:r>
      <w:r w:rsidR="00644D9F" w:rsidRPr="00644D9F">
        <w:rPr>
          <w:rFonts w:ascii="Sylfaen" w:hAnsi="Sylfaen"/>
          <w:lang w:val="ka-GE"/>
        </w:rPr>
        <w:t xml:space="preserve"> 6.0 </w:t>
      </w:r>
      <w:r w:rsidR="00644D9F">
        <w:rPr>
          <w:rFonts w:ascii="Sylfaen" w:hAnsi="Sylfaen"/>
          <w:lang w:val="ka-GE"/>
        </w:rPr>
        <w:t xml:space="preserve">ყოველ </w:t>
      </w:r>
      <w:r w:rsidR="00644D9F" w:rsidRPr="00644D9F">
        <w:rPr>
          <w:rFonts w:ascii="Sylfaen" w:hAnsi="Sylfaen"/>
          <w:lang w:val="ka-GE"/>
        </w:rPr>
        <w:t>100,000</w:t>
      </w:r>
      <w:r w:rsidR="00644D9F">
        <w:rPr>
          <w:rFonts w:ascii="Sylfaen" w:hAnsi="Sylfaen"/>
          <w:lang w:val="ka-GE"/>
        </w:rPr>
        <w:t xml:space="preserve"> ადამიანზე).</w:t>
      </w:r>
      <w:r w:rsidR="0029489F">
        <w:rPr>
          <w:rFonts w:ascii="Sylfaen" w:hAnsi="Sylfaen"/>
          <w:lang w:val="ka-GE"/>
        </w:rPr>
        <w:t xml:space="preserve"> მსოფლიო მონაცემებით, </w:t>
      </w:r>
      <w:r w:rsidR="00644D9F" w:rsidRPr="00644D9F">
        <w:rPr>
          <w:rFonts w:ascii="Sylfaen" w:hAnsi="Sylfaen"/>
          <w:lang w:val="ka-GE"/>
        </w:rPr>
        <w:t xml:space="preserve">ქალებში მთელი ცხოვრების განმავლობაში საკვერცხის კიბოს განვითარების რისკი არის 1 ყოველ 75 ქალში და ამ დაავადების გამო სიკვდილის შესაძლებლობა 1 ყოველ მე-100 ქალში. </w:t>
      </w:r>
      <w:r w:rsidR="00F11796">
        <w:rPr>
          <w:rFonts w:ascii="Sylfaen" w:hAnsi="Sylfaen"/>
          <w:lang w:val="ka-GE"/>
        </w:rPr>
        <w:t xml:space="preserve">ძირითადადნ, </w:t>
      </w:r>
      <w:r w:rsidR="00644D9F" w:rsidRPr="00644D9F">
        <w:rPr>
          <w:rFonts w:ascii="Sylfaen" w:hAnsi="Sylfaen"/>
          <w:lang w:val="ka-GE"/>
        </w:rPr>
        <w:t>დაავადება გვხვდება გვიან სტადიაზე, როდესაც</w:t>
      </w:r>
      <w:r w:rsidR="007044B8">
        <w:rPr>
          <w:rFonts w:ascii="Sylfaen" w:hAnsi="Sylfaen"/>
          <w:lang w:val="ka-GE"/>
        </w:rPr>
        <w:t xml:space="preserve"> ხუთ</w:t>
      </w:r>
      <w:r w:rsidR="00644D9F" w:rsidRPr="00644D9F">
        <w:rPr>
          <w:rFonts w:ascii="Sylfaen" w:hAnsi="Sylfaen"/>
          <w:lang w:val="ka-GE"/>
        </w:rPr>
        <w:t>წლიანი სიცოცხლის ხანგრძლივობა  მხოლოდ 29%</w:t>
      </w:r>
      <w:r w:rsidR="00F11796">
        <w:rPr>
          <w:rFonts w:ascii="Sylfaen" w:hAnsi="Sylfaen"/>
          <w:lang w:val="ka-GE"/>
        </w:rPr>
        <w:t>-ს შეადგენს</w:t>
      </w:r>
      <w:r w:rsidR="00644D9F" w:rsidRPr="00644D9F">
        <w:rPr>
          <w:rFonts w:ascii="Sylfaen" w:hAnsi="Sylfaen"/>
          <w:lang w:val="ka-GE"/>
        </w:rPr>
        <w:t xml:space="preserve">. </w:t>
      </w:r>
      <w:r w:rsidR="00F11796">
        <w:rPr>
          <w:rFonts w:ascii="Sylfaen" w:hAnsi="Sylfaen"/>
          <w:lang w:val="ka-GE"/>
        </w:rPr>
        <w:t>იშვიათია</w:t>
      </w:r>
      <w:r w:rsidR="00644D9F" w:rsidRPr="00644D9F">
        <w:rPr>
          <w:rFonts w:ascii="Sylfaen" w:hAnsi="Sylfaen"/>
          <w:lang w:val="ka-GE"/>
        </w:rPr>
        <w:t xml:space="preserve"> დაავადების გამოვლენა </w:t>
      </w:r>
      <w:r w:rsidR="00F11796">
        <w:rPr>
          <w:rFonts w:ascii="Sylfaen" w:hAnsi="Sylfaen"/>
          <w:lang w:val="ka-GE"/>
        </w:rPr>
        <w:t>საწყის</w:t>
      </w:r>
      <w:r w:rsidR="00644D9F" w:rsidRPr="00644D9F">
        <w:rPr>
          <w:rFonts w:ascii="Sylfaen" w:hAnsi="Sylfaen"/>
          <w:lang w:val="ka-GE"/>
        </w:rPr>
        <w:t xml:space="preserve"> სტადიაში</w:t>
      </w:r>
      <w:r w:rsidR="00F11796">
        <w:rPr>
          <w:rFonts w:ascii="Sylfaen" w:hAnsi="Sylfaen"/>
          <w:lang w:val="ka-GE"/>
        </w:rPr>
        <w:t xml:space="preserve"> </w:t>
      </w:r>
      <w:r w:rsidR="00F11796" w:rsidRPr="00644D9F">
        <w:rPr>
          <w:rFonts w:ascii="Sylfaen" w:hAnsi="Sylfaen"/>
          <w:lang w:val="ka-GE"/>
        </w:rPr>
        <w:t>(15%)</w:t>
      </w:r>
      <w:r w:rsidR="00644D9F" w:rsidRPr="00644D9F">
        <w:rPr>
          <w:rFonts w:ascii="Sylfaen" w:hAnsi="Sylfaen"/>
          <w:lang w:val="ka-GE"/>
        </w:rPr>
        <w:t xml:space="preserve">, </w:t>
      </w:r>
      <w:r w:rsidR="00F11796">
        <w:rPr>
          <w:rFonts w:ascii="Sylfaen" w:hAnsi="Sylfaen"/>
          <w:lang w:val="ka-GE"/>
        </w:rPr>
        <w:t>ამ დროს</w:t>
      </w:r>
      <w:r w:rsidR="007044B8">
        <w:rPr>
          <w:rFonts w:ascii="Sylfaen" w:hAnsi="Sylfaen"/>
          <w:lang w:val="ka-GE"/>
        </w:rPr>
        <w:t xml:space="preserve"> ხუთ</w:t>
      </w:r>
      <w:r w:rsidR="00644D9F" w:rsidRPr="00644D9F">
        <w:rPr>
          <w:rFonts w:ascii="Sylfaen" w:hAnsi="Sylfaen"/>
          <w:lang w:val="ka-GE"/>
        </w:rPr>
        <w:t>წლიანი სიცოცხლის ხანგრძლივობა 92%</w:t>
      </w:r>
      <w:r w:rsidR="00F11796">
        <w:rPr>
          <w:rFonts w:ascii="Sylfaen" w:hAnsi="Sylfaen"/>
          <w:lang w:val="ka-GE"/>
        </w:rPr>
        <w:t>-ს შეადგენს</w:t>
      </w:r>
      <w:r w:rsidR="00644D9F" w:rsidRPr="00644D9F">
        <w:rPr>
          <w:rFonts w:ascii="Sylfaen" w:hAnsi="Sylfaen"/>
          <w:lang w:val="ka-GE"/>
        </w:rPr>
        <w:t>. ზოგადად, მთელ</w:t>
      </w:r>
      <w:r w:rsidR="0029489F">
        <w:rPr>
          <w:rFonts w:ascii="Sylfaen" w:hAnsi="Sylfaen"/>
          <w:lang w:val="ka-GE"/>
        </w:rPr>
        <w:t>ს</w:t>
      </w:r>
      <w:r w:rsidR="00644D9F" w:rsidRPr="00644D9F">
        <w:rPr>
          <w:rFonts w:ascii="Sylfaen" w:hAnsi="Sylfaen"/>
          <w:lang w:val="ka-GE"/>
        </w:rPr>
        <w:t xml:space="preserve"> მსოფლიოში</w:t>
      </w:r>
      <w:r w:rsidR="007044B8">
        <w:rPr>
          <w:rFonts w:ascii="Sylfaen" w:hAnsi="Sylfaen"/>
          <w:lang w:val="ka-GE"/>
        </w:rPr>
        <w:t xml:space="preserve"> ხუთ</w:t>
      </w:r>
      <w:r w:rsidR="00644D9F" w:rsidRPr="00644D9F">
        <w:rPr>
          <w:rFonts w:ascii="Sylfaen" w:hAnsi="Sylfaen"/>
          <w:lang w:val="ka-GE"/>
        </w:rPr>
        <w:t>ლიანი სიცოცხლის ხანგრძლივობა საკვერცხი</w:t>
      </w:r>
      <w:r w:rsidR="0029489F">
        <w:rPr>
          <w:rFonts w:ascii="Sylfaen" w:hAnsi="Sylfaen"/>
          <w:lang w:val="ka-GE"/>
        </w:rPr>
        <w:t>ს</w:t>
      </w:r>
      <w:r w:rsidR="00644D9F" w:rsidRPr="00644D9F">
        <w:rPr>
          <w:rFonts w:ascii="Sylfaen" w:hAnsi="Sylfaen"/>
          <w:lang w:val="ka-GE"/>
        </w:rPr>
        <w:t xml:space="preserve"> კიბოს დროს მერყეობს 30%–40%</w:t>
      </w:r>
      <w:r w:rsidR="00A66041">
        <w:rPr>
          <w:rFonts w:ascii="Sylfaen" w:hAnsi="Sylfaen"/>
          <w:lang w:val="ka-GE"/>
        </w:rPr>
        <w:t xml:space="preserve"> </w:t>
      </w:r>
      <w:r w:rsidR="00644D9F" w:rsidRPr="00644D9F">
        <w:rPr>
          <w:rFonts w:ascii="Sylfaen" w:hAnsi="Sylfaen"/>
          <w:lang w:val="ka-GE"/>
        </w:rPr>
        <w:t>მდე</w:t>
      </w:r>
      <w:r w:rsidR="0029489F">
        <w:rPr>
          <w:rFonts w:ascii="Sylfaen" w:hAnsi="Sylfaen"/>
          <w:lang w:val="ka-GE"/>
        </w:rPr>
        <w:t>.</w:t>
      </w:r>
      <w:sdt>
        <w:sdtPr>
          <w:rPr>
            <w:rFonts w:ascii="Sylfaen" w:hAnsi="Sylfaen"/>
            <w:lang w:val="ka-GE"/>
          </w:rPr>
          <w:id w:val="2628604"/>
          <w:citation/>
        </w:sdtPr>
        <w:sdtEndPr/>
        <w:sdtContent>
          <w:r w:rsidR="007B0ED7" w:rsidRPr="00644D9F">
            <w:rPr>
              <w:rFonts w:ascii="Sylfaen" w:hAnsi="Sylfaen"/>
              <w:lang w:val="ka-GE"/>
            </w:rPr>
            <w:fldChar w:fldCharType="begin"/>
          </w:r>
          <w:r w:rsidR="00644D9F" w:rsidRPr="00644D9F">
            <w:rPr>
              <w:rFonts w:ascii="Sylfaen" w:hAnsi="Sylfaen"/>
              <w:lang w:val="ka-GE"/>
            </w:rPr>
            <w:instrText xml:space="preserve"> CITATION Rei17 \l 1033 </w:instrText>
          </w:r>
          <w:r w:rsidR="007B0ED7" w:rsidRPr="00644D9F">
            <w:rPr>
              <w:rFonts w:ascii="Sylfaen" w:hAnsi="Sylfaen"/>
              <w:lang w:val="ka-GE"/>
            </w:rPr>
            <w:fldChar w:fldCharType="separate"/>
          </w:r>
          <w:r w:rsidR="002F0AF2">
            <w:rPr>
              <w:rFonts w:ascii="Sylfaen" w:hAnsi="Sylfaen"/>
              <w:noProof/>
              <w:lang w:val="ka-GE"/>
            </w:rPr>
            <w:t xml:space="preserve"> </w:t>
          </w:r>
          <w:r w:rsidR="002F0AF2" w:rsidRPr="002F0AF2">
            <w:rPr>
              <w:rFonts w:ascii="Sylfaen" w:hAnsi="Sylfaen"/>
              <w:noProof/>
              <w:lang w:val="ka-GE"/>
            </w:rPr>
            <w:t>(Reid, Permuth, &amp; Thomas, 2017)</w:t>
          </w:r>
          <w:r w:rsidR="007B0ED7" w:rsidRPr="00644D9F">
            <w:rPr>
              <w:rFonts w:ascii="Sylfaen" w:hAnsi="Sylfaen"/>
              <w:lang w:val="ka-GE"/>
            </w:rPr>
            <w:fldChar w:fldCharType="end"/>
          </w:r>
        </w:sdtContent>
      </w:sdt>
      <w:r w:rsidR="00644D9F" w:rsidRPr="00644D9F">
        <w:rPr>
          <w:rFonts w:ascii="Sylfaen" w:hAnsi="Sylfaen"/>
          <w:lang w:val="ka-GE"/>
        </w:rPr>
        <w:t xml:space="preserve"> </w:t>
      </w:r>
    </w:p>
    <w:p w:rsidR="00F81606" w:rsidRDefault="00F81606" w:rsidP="00644D9F">
      <w:pPr>
        <w:jc w:val="both"/>
        <w:rPr>
          <w:rFonts w:ascii="Sylfaen" w:hAnsi="Sylfaen"/>
          <w:lang w:val="ka-GE"/>
        </w:rPr>
      </w:pPr>
      <w:r>
        <w:rPr>
          <w:rFonts w:ascii="Sylfaen" w:hAnsi="Sylfaen"/>
          <w:lang w:val="ka-GE"/>
        </w:rPr>
        <w:t>საქართველოში არსებული მონაცემების მიხედვით საკვერცხის კიბოს (</w:t>
      </w:r>
      <w:r w:rsidRPr="001113B1">
        <w:rPr>
          <w:rFonts w:ascii="Sylfaen" w:hAnsi="Sylfaen"/>
          <w:lang w:val="ka-GE"/>
        </w:rPr>
        <w:t>ICD-10 C</w:t>
      </w:r>
      <w:r w:rsidR="00E82E3F" w:rsidRPr="00E82E3F">
        <w:rPr>
          <w:rFonts w:ascii="Sylfaen" w:hAnsi="Sylfaen"/>
          <w:lang w:val="ka-GE"/>
        </w:rPr>
        <w:t xml:space="preserve"> </w:t>
      </w:r>
      <w:r w:rsidRPr="001113B1">
        <w:rPr>
          <w:rFonts w:ascii="Sylfaen" w:hAnsi="Sylfaen"/>
          <w:lang w:val="ka-GE"/>
        </w:rPr>
        <w:t>56)</w:t>
      </w:r>
      <w:r>
        <w:rPr>
          <w:rFonts w:ascii="Sylfaen" w:hAnsi="Sylfaen"/>
          <w:lang w:val="ka-GE"/>
        </w:rPr>
        <w:t xml:space="preserve"> ახალი შემთხვევების რაოდენობა წელიწადში არის: 2015 </w:t>
      </w:r>
      <w:r w:rsidR="0022452E">
        <w:rPr>
          <w:rFonts w:ascii="Sylfaen" w:hAnsi="Sylfaen"/>
          <w:lang w:val="ka-GE"/>
        </w:rPr>
        <w:t>– 319</w:t>
      </w:r>
      <w:r>
        <w:rPr>
          <w:rFonts w:ascii="Sylfaen" w:hAnsi="Sylfaen"/>
          <w:lang w:val="ka-GE"/>
        </w:rPr>
        <w:t>,</w:t>
      </w:r>
      <w:r w:rsidR="00F729B9">
        <w:rPr>
          <w:rFonts w:ascii="Sylfaen" w:hAnsi="Sylfaen"/>
          <w:lang w:val="ka-GE"/>
        </w:rPr>
        <w:t xml:space="preserve"> </w:t>
      </w:r>
      <w:r>
        <w:rPr>
          <w:rFonts w:ascii="Sylfaen" w:hAnsi="Sylfaen"/>
          <w:lang w:val="ka-GE"/>
        </w:rPr>
        <w:t>2016</w:t>
      </w:r>
      <w:r w:rsidR="0022452E">
        <w:rPr>
          <w:rFonts w:ascii="Sylfaen" w:hAnsi="Sylfaen"/>
          <w:lang w:val="ka-GE"/>
        </w:rPr>
        <w:t xml:space="preserve"> – 259</w:t>
      </w:r>
      <w:r>
        <w:rPr>
          <w:rFonts w:ascii="Sylfaen" w:hAnsi="Sylfaen"/>
          <w:lang w:val="ka-GE"/>
        </w:rPr>
        <w:t xml:space="preserve">, </w:t>
      </w:r>
      <w:r w:rsidR="00F729B9">
        <w:rPr>
          <w:rFonts w:ascii="Sylfaen" w:hAnsi="Sylfaen"/>
          <w:lang w:val="ka-GE"/>
        </w:rPr>
        <w:t xml:space="preserve"> </w:t>
      </w:r>
      <w:r>
        <w:rPr>
          <w:rFonts w:ascii="Sylfaen" w:hAnsi="Sylfaen"/>
          <w:lang w:val="ka-GE"/>
        </w:rPr>
        <w:t>2017</w:t>
      </w:r>
      <w:r w:rsidR="0022452E">
        <w:rPr>
          <w:rFonts w:ascii="Sylfaen" w:hAnsi="Sylfaen"/>
          <w:lang w:val="ka-GE"/>
        </w:rPr>
        <w:t xml:space="preserve"> – 239</w:t>
      </w:r>
      <w:r w:rsidR="00A66041">
        <w:rPr>
          <w:rFonts w:ascii="Sylfaen" w:hAnsi="Sylfaen"/>
          <w:lang w:val="ka-GE"/>
        </w:rPr>
        <w:t>, საკვერცხის ავთვისებიანი სიმსივნე სიხშირით შედის პირველ ათეულში (მე-6 ადგილას)</w:t>
      </w:r>
      <w:r w:rsidR="00F729B9">
        <w:rPr>
          <w:rFonts w:ascii="Sylfaen" w:hAnsi="Sylfaen"/>
          <w:lang w:val="ka-GE"/>
        </w:rPr>
        <w:t>. (წყარო: კიბოს პოპულაციური რეგისტრი). ამ შემთხვევებში არ შედის მოსაზღვრე ტიპის საკვერცხის სიმსივნეები</w:t>
      </w:r>
      <w:r w:rsidR="00A66041">
        <w:rPr>
          <w:rFonts w:ascii="Sylfaen" w:hAnsi="Sylfaen"/>
          <w:lang w:val="ka-GE"/>
        </w:rPr>
        <w:t>,</w:t>
      </w:r>
      <w:r w:rsidR="00630438">
        <w:rPr>
          <w:rFonts w:ascii="Sylfaen" w:hAnsi="Sylfaen"/>
          <w:lang w:val="ka-GE"/>
        </w:rPr>
        <w:t xml:space="preserve"> შესაბამისად თუ გავითვალისწინებით, რომ ამ რაოდენობას ასევე ემატება მოსაზღვრე ტიპის სიმსივნეების რაოდენობა, ავადობის რიცხვი რამდენადმე იზრდება და შესაძლოა </w:t>
      </w:r>
      <w:r w:rsidR="00210947">
        <w:rPr>
          <w:rFonts w:ascii="Sylfaen" w:hAnsi="Sylfaen"/>
          <w:lang w:val="ka-GE"/>
        </w:rPr>
        <w:t>გადაინაცვლოს</w:t>
      </w:r>
      <w:r w:rsidR="00630438">
        <w:rPr>
          <w:rFonts w:ascii="Sylfaen" w:hAnsi="Sylfaen"/>
          <w:lang w:val="ka-GE"/>
        </w:rPr>
        <w:t xml:space="preserve"> ხუთეულში. </w:t>
      </w:r>
    </w:p>
    <w:p w:rsidR="009D0AA4" w:rsidRDefault="00F729B9" w:rsidP="008E7D57">
      <w:pPr>
        <w:jc w:val="both"/>
        <w:rPr>
          <w:rFonts w:ascii="Sylfaen" w:hAnsi="Sylfaen"/>
          <w:lang w:val="ka-GE"/>
        </w:rPr>
      </w:pPr>
      <w:r>
        <w:rPr>
          <w:rFonts w:ascii="Sylfaen" w:hAnsi="Sylfaen"/>
          <w:lang w:val="ka-GE"/>
        </w:rPr>
        <w:t>საკვერცხის</w:t>
      </w:r>
      <w:r w:rsidR="00630438">
        <w:rPr>
          <w:rFonts w:ascii="Sylfaen" w:hAnsi="Sylfaen"/>
          <w:lang w:val="ka-GE"/>
        </w:rPr>
        <w:t xml:space="preserve"> </w:t>
      </w:r>
      <w:r>
        <w:rPr>
          <w:rFonts w:ascii="Sylfaen" w:hAnsi="Sylfaen"/>
          <w:lang w:val="ka-GE"/>
        </w:rPr>
        <w:t>სიმსივნეები</w:t>
      </w:r>
      <w:r w:rsidR="00630438">
        <w:rPr>
          <w:rFonts w:ascii="Sylfaen" w:hAnsi="Sylfaen"/>
          <w:lang w:val="ka-GE"/>
        </w:rPr>
        <w:t>ს</w:t>
      </w:r>
      <w:r>
        <w:rPr>
          <w:rFonts w:ascii="Sylfaen" w:hAnsi="Sylfaen"/>
          <w:lang w:val="ka-GE"/>
        </w:rPr>
        <w:t xml:space="preserve"> </w:t>
      </w:r>
      <w:r w:rsidR="00313746">
        <w:rPr>
          <w:rFonts w:ascii="Sylfaen" w:hAnsi="Sylfaen"/>
          <w:lang w:val="ka-GE"/>
        </w:rPr>
        <w:t xml:space="preserve">გამომწვევ </w:t>
      </w:r>
      <w:r w:rsidR="00E82E3F">
        <w:rPr>
          <w:rFonts w:ascii="Sylfaen" w:hAnsi="Sylfaen"/>
          <w:lang w:val="ka-GE"/>
        </w:rPr>
        <w:t xml:space="preserve">ერთ-ერთ </w:t>
      </w:r>
      <w:r w:rsidR="00313746">
        <w:rPr>
          <w:rFonts w:ascii="Sylfaen" w:hAnsi="Sylfaen"/>
          <w:lang w:val="ka-GE"/>
        </w:rPr>
        <w:t xml:space="preserve"> მიზეზს</w:t>
      </w:r>
      <w:r>
        <w:rPr>
          <w:rFonts w:ascii="Sylfaen" w:hAnsi="Sylfaen"/>
          <w:lang w:val="ka-GE"/>
        </w:rPr>
        <w:t xml:space="preserve">, </w:t>
      </w:r>
      <w:r w:rsidR="00313746">
        <w:rPr>
          <w:rFonts w:ascii="Sylfaen" w:hAnsi="Sylfaen"/>
          <w:lang w:val="ka-GE"/>
        </w:rPr>
        <w:t xml:space="preserve">მემკვიდრეობითობა </w:t>
      </w:r>
      <w:r>
        <w:rPr>
          <w:rFonts w:ascii="Sylfaen" w:hAnsi="Sylfaen"/>
          <w:lang w:val="ka-GE"/>
        </w:rPr>
        <w:t xml:space="preserve">წარმოადგენს. </w:t>
      </w:r>
      <w:r w:rsidR="00313746" w:rsidRPr="00F729B9">
        <w:rPr>
          <w:rFonts w:ascii="Sylfaen" w:hAnsi="Sylfaen"/>
          <w:lang w:val="ka-GE"/>
        </w:rPr>
        <w:t>ძუძუს და საკვერცხის</w:t>
      </w:r>
      <w:r w:rsidR="00313746">
        <w:rPr>
          <w:rFonts w:ascii="Sylfaen" w:hAnsi="Sylfaen"/>
          <w:lang w:val="ka-GE"/>
        </w:rPr>
        <w:t xml:space="preserve"> სიმსივნის განვითარების გენეტიკურ ფაქტორს წარმოადგენს</w:t>
      </w:r>
      <w:r w:rsidR="00313746" w:rsidRPr="00F729B9">
        <w:rPr>
          <w:rFonts w:ascii="Sylfaen" w:hAnsi="Sylfaen"/>
          <w:lang w:val="ka-GE"/>
        </w:rPr>
        <w:t xml:space="preserve"> </w:t>
      </w:r>
      <w:r w:rsidR="00313746">
        <w:rPr>
          <w:rFonts w:ascii="Sylfaen" w:hAnsi="Sylfaen"/>
          <w:lang w:val="ka-GE"/>
        </w:rPr>
        <w:t xml:space="preserve"> </w:t>
      </w:r>
      <w:r w:rsidRPr="00F729B9">
        <w:rPr>
          <w:rFonts w:ascii="Sylfaen" w:hAnsi="Sylfaen"/>
          <w:lang w:val="ka-GE"/>
        </w:rPr>
        <w:t>BRCA1 და BRCA2 (BRCA) გენების ემბრიონული მუტაციები</w:t>
      </w:r>
      <w:r w:rsidR="00313746">
        <w:rPr>
          <w:rFonts w:ascii="Sylfaen" w:hAnsi="Sylfaen"/>
          <w:lang w:val="ka-GE"/>
        </w:rPr>
        <w:t xml:space="preserve"> (Germline mutations),</w:t>
      </w:r>
      <w:r w:rsidR="00210947" w:rsidRPr="00F729B9">
        <w:rPr>
          <w:rFonts w:ascii="Sylfaen" w:hAnsi="Sylfaen"/>
          <w:lang w:val="ka-GE"/>
        </w:rPr>
        <w:t xml:space="preserve"> 9–24% საკვერცხის  სიმსივნეების და 4.5% ძუძუს კიბოს </w:t>
      </w:r>
      <w:r w:rsidR="00313746">
        <w:rPr>
          <w:rFonts w:ascii="Sylfaen" w:hAnsi="Sylfaen"/>
          <w:lang w:val="ka-GE"/>
        </w:rPr>
        <w:t>შემთხვევებში</w:t>
      </w:r>
      <w:r w:rsidR="00210947" w:rsidRPr="00F729B9">
        <w:rPr>
          <w:rFonts w:ascii="Sylfaen" w:hAnsi="Sylfaen"/>
          <w:lang w:val="ka-GE"/>
        </w:rPr>
        <w:t>.</w:t>
      </w:r>
      <w:r w:rsidR="00210947">
        <w:rPr>
          <w:rFonts w:ascii="Sylfaen" w:hAnsi="Sylfaen"/>
          <w:lang w:val="ka-GE"/>
        </w:rPr>
        <w:t xml:space="preserve"> აღნიშნული მუტაციები არის აუტოსომურ-დომინანტური დამემკვიდრების. </w:t>
      </w:r>
      <w:r w:rsidR="001B6BFB" w:rsidRPr="002B2DE9">
        <w:rPr>
          <w:rFonts w:ascii="Sylfaen" w:hAnsi="Sylfaen"/>
          <w:lang w:val="ka-GE"/>
        </w:rPr>
        <w:t xml:space="preserve">საკვერცხის სიმსივნის </w:t>
      </w:r>
      <w:r w:rsidR="007553B3" w:rsidRPr="002B2DE9">
        <w:rPr>
          <w:rFonts w:ascii="Sylfaen" w:hAnsi="Sylfaen"/>
          <w:lang w:val="ka-GE"/>
        </w:rPr>
        <w:t>განვითარების რისკი</w:t>
      </w:r>
      <w:r w:rsidR="00630438" w:rsidRPr="002B2DE9">
        <w:rPr>
          <w:rFonts w:ascii="Sylfaen" w:hAnsi="Sylfaen"/>
          <w:lang w:val="ka-GE"/>
        </w:rPr>
        <w:t xml:space="preserve"> BRCA1 მუტაციის მქონე ქალებში </w:t>
      </w:r>
      <w:r w:rsidR="00210947" w:rsidRPr="002B2DE9">
        <w:rPr>
          <w:rFonts w:ascii="Sylfaen" w:hAnsi="Sylfaen"/>
          <w:lang w:val="ka-GE"/>
        </w:rPr>
        <w:t>უფრო მაღალია (</w:t>
      </w:r>
      <w:r w:rsidR="00630438" w:rsidRPr="002B2DE9">
        <w:rPr>
          <w:rFonts w:ascii="Sylfaen" w:hAnsi="Sylfaen"/>
          <w:lang w:val="ka-GE"/>
        </w:rPr>
        <w:t>39-46%</w:t>
      </w:r>
      <w:r w:rsidR="00210947" w:rsidRPr="002B2DE9">
        <w:rPr>
          <w:rFonts w:ascii="Sylfaen" w:hAnsi="Sylfaen"/>
          <w:lang w:val="ka-GE"/>
        </w:rPr>
        <w:t xml:space="preserve">), ვიდრე </w:t>
      </w:r>
      <w:r w:rsidR="00630438" w:rsidRPr="002B2DE9">
        <w:rPr>
          <w:rFonts w:ascii="Sylfaen" w:hAnsi="Sylfaen"/>
          <w:lang w:val="ka-GE"/>
        </w:rPr>
        <w:t>BRCA 2 მუტაციით</w:t>
      </w:r>
      <w:r w:rsidR="00210947" w:rsidRPr="002B2DE9">
        <w:rPr>
          <w:rFonts w:ascii="Sylfaen" w:hAnsi="Sylfaen"/>
          <w:lang w:val="ka-GE"/>
        </w:rPr>
        <w:t xml:space="preserve"> (11-27%)</w:t>
      </w:r>
      <w:r w:rsidR="00630438" w:rsidRPr="002B2DE9">
        <w:rPr>
          <w:rFonts w:ascii="Sylfaen" w:hAnsi="Sylfaen"/>
          <w:lang w:val="ka-GE"/>
        </w:rPr>
        <w:t>,</w:t>
      </w:r>
      <w:r w:rsidR="00210947" w:rsidRPr="002B2DE9">
        <w:rPr>
          <w:rFonts w:ascii="Sylfaen" w:hAnsi="Sylfaen"/>
          <w:lang w:val="ka-GE"/>
        </w:rPr>
        <w:t xml:space="preserve"> თუმცა ძუძუს კიბოს შემთხვევაში რისკები </w:t>
      </w:r>
      <w:r w:rsidR="00B8519B">
        <w:rPr>
          <w:rFonts w:ascii="Sylfaen" w:hAnsi="Sylfaen"/>
          <w:lang w:val="ka-GE"/>
        </w:rPr>
        <w:t xml:space="preserve">თითქმის </w:t>
      </w:r>
      <w:r w:rsidR="00210947" w:rsidRPr="002B2DE9">
        <w:rPr>
          <w:rFonts w:ascii="Sylfaen" w:hAnsi="Sylfaen"/>
          <w:lang w:val="ka-GE"/>
        </w:rPr>
        <w:t xml:space="preserve">ერთნაირი ორივე მუტაციისთვის </w:t>
      </w:r>
      <w:r w:rsidR="00210947" w:rsidRPr="002B2DE9">
        <w:rPr>
          <w:rFonts w:ascii="Sylfaen" w:hAnsi="Sylfaen"/>
          <w:lang w:val="ka-GE"/>
        </w:rPr>
        <w:lastRenderedPageBreak/>
        <w:t>(</w:t>
      </w:r>
      <w:r w:rsidR="00B8519B">
        <w:rPr>
          <w:rFonts w:ascii="Sylfaen" w:hAnsi="Sylfaen"/>
          <w:lang w:val="ka-GE"/>
        </w:rPr>
        <w:t xml:space="preserve">72% - </w:t>
      </w:r>
      <w:r w:rsidR="00B8519B" w:rsidRPr="002B2DE9">
        <w:rPr>
          <w:rFonts w:ascii="Sylfaen" w:hAnsi="Sylfaen"/>
          <w:lang w:val="ka-GE"/>
        </w:rPr>
        <w:t>BRCA1</w:t>
      </w:r>
      <w:r w:rsidR="00B8519B">
        <w:rPr>
          <w:rFonts w:ascii="Sylfaen" w:hAnsi="Sylfaen"/>
          <w:lang w:val="ka-GE"/>
        </w:rPr>
        <w:t xml:space="preserve"> და 69% - BRCA2</w:t>
      </w:r>
      <w:r w:rsidR="00210947">
        <w:rPr>
          <w:rFonts w:ascii="Sylfaen" w:hAnsi="Sylfaen"/>
          <w:lang w:val="ka-GE"/>
        </w:rPr>
        <w:t>)</w:t>
      </w:r>
      <w:sdt>
        <w:sdtPr>
          <w:rPr>
            <w:rFonts w:ascii="Sylfaen" w:hAnsi="Sylfaen"/>
            <w:lang w:val="ka-GE"/>
          </w:rPr>
          <w:id w:val="1800315"/>
          <w:citation/>
        </w:sdtPr>
        <w:sdtEndPr/>
        <w:sdtContent>
          <w:r w:rsidR="007B0ED7">
            <w:rPr>
              <w:rFonts w:ascii="Sylfaen" w:hAnsi="Sylfaen"/>
              <w:lang w:val="ka-GE"/>
            </w:rPr>
            <w:fldChar w:fldCharType="begin"/>
          </w:r>
          <w:r w:rsidR="00982E65" w:rsidRPr="00982E65">
            <w:rPr>
              <w:rFonts w:ascii="Sylfaen" w:hAnsi="Sylfaen"/>
              <w:lang w:val="ka-GE"/>
            </w:rPr>
            <w:instrText xml:space="preserve"> CITATION Kar17 \l 1033 </w:instrText>
          </w:r>
          <w:r w:rsidR="007B0ED7">
            <w:rPr>
              <w:rFonts w:ascii="Sylfaen" w:hAnsi="Sylfaen"/>
              <w:lang w:val="ka-GE"/>
            </w:rPr>
            <w:fldChar w:fldCharType="separate"/>
          </w:r>
          <w:r w:rsidR="002F0AF2">
            <w:rPr>
              <w:rFonts w:ascii="Sylfaen" w:hAnsi="Sylfaen"/>
              <w:noProof/>
              <w:lang w:val="ka-GE"/>
            </w:rPr>
            <w:t xml:space="preserve"> </w:t>
          </w:r>
          <w:r w:rsidR="002F0AF2" w:rsidRPr="002F0AF2">
            <w:rPr>
              <w:rFonts w:ascii="Sylfaen" w:hAnsi="Sylfaen"/>
              <w:noProof/>
              <w:lang w:val="ka-GE"/>
            </w:rPr>
            <w:t>(Kari L. Ring, 2017)</w:t>
          </w:r>
          <w:r w:rsidR="007B0ED7">
            <w:rPr>
              <w:rFonts w:ascii="Sylfaen" w:hAnsi="Sylfaen"/>
              <w:lang w:val="ka-GE"/>
            </w:rPr>
            <w:fldChar w:fldCharType="end"/>
          </w:r>
        </w:sdtContent>
      </w:sdt>
      <w:r w:rsidR="00210947">
        <w:rPr>
          <w:rFonts w:ascii="Sylfaen" w:hAnsi="Sylfaen"/>
          <w:lang w:val="ka-GE"/>
        </w:rPr>
        <w:t>.</w:t>
      </w:r>
      <w:sdt>
        <w:sdtPr>
          <w:rPr>
            <w:rFonts w:ascii="Sylfaen" w:hAnsi="Sylfaen"/>
            <w:lang w:val="ka-GE"/>
          </w:rPr>
          <w:id w:val="790334"/>
          <w:citation/>
        </w:sdtPr>
        <w:sdtEndPr/>
        <w:sdtContent>
          <w:r w:rsidR="007B0ED7">
            <w:rPr>
              <w:rFonts w:ascii="Sylfaen" w:hAnsi="Sylfaen"/>
              <w:lang w:val="ka-GE"/>
            </w:rPr>
            <w:fldChar w:fldCharType="begin"/>
          </w:r>
          <w:r w:rsidR="00E7130A" w:rsidRPr="00E7130A">
            <w:rPr>
              <w:rFonts w:ascii="Sylfaen" w:hAnsi="Sylfaen"/>
              <w:lang w:val="ka-GE"/>
            </w:rPr>
            <w:instrText xml:space="preserve"> CITATION The14 \l 1033 </w:instrText>
          </w:r>
          <w:r w:rsidR="007B0ED7">
            <w:rPr>
              <w:rFonts w:ascii="Sylfaen" w:hAnsi="Sylfaen"/>
              <w:lang w:val="ka-GE"/>
            </w:rPr>
            <w:fldChar w:fldCharType="separate"/>
          </w:r>
          <w:r w:rsidR="002F0AF2">
            <w:rPr>
              <w:rFonts w:ascii="Sylfaen" w:hAnsi="Sylfaen"/>
              <w:noProof/>
              <w:lang w:val="ka-GE"/>
            </w:rPr>
            <w:t xml:space="preserve"> </w:t>
          </w:r>
          <w:r w:rsidR="002F0AF2" w:rsidRPr="002F0AF2">
            <w:rPr>
              <w:rFonts w:ascii="Sylfaen" w:hAnsi="Sylfaen"/>
              <w:noProof/>
              <w:lang w:val="ka-GE"/>
            </w:rPr>
            <w:t>(The American College of Obstetricians and Gynecologist, 2014)</w:t>
          </w:r>
          <w:r w:rsidR="007B0ED7">
            <w:rPr>
              <w:rFonts w:ascii="Sylfaen" w:hAnsi="Sylfaen"/>
              <w:lang w:val="ka-GE"/>
            </w:rPr>
            <w:fldChar w:fldCharType="end"/>
          </w:r>
        </w:sdtContent>
      </w:sdt>
      <w:r w:rsidR="009A65E7">
        <w:rPr>
          <w:rFonts w:ascii="Sylfaen" w:hAnsi="Sylfaen"/>
          <w:lang w:val="ka-GE"/>
        </w:rPr>
        <w:t>.</w:t>
      </w:r>
    </w:p>
    <w:p w:rsidR="007553B3" w:rsidRPr="009D0AA4" w:rsidRDefault="007553B3" w:rsidP="008E7D57">
      <w:pPr>
        <w:jc w:val="both"/>
        <w:rPr>
          <w:rFonts w:ascii="Sylfaen" w:hAnsi="Sylfaen"/>
          <w:lang w:val="ka-GE"/>
        </w:rPr>
      </w:pPr>
      <w:r>
        <w:rPr>
          <w:rFonts w:ascii="Sylfaen" w:hAnsi="Sylfaen"/>
          <w:lang w:val="ka-GE"/>
        </w:rPr>
        <w:t>ზემოთ აღნიშნული მონაცემების გათვალისწინებით,</w:t>
      </w:r>
      <w:r w:rsidR="006C6839">
        <w:rPr>
          <w:rFonts w:ascii="Sylfaen" w:hAnsi="Sylfaen"/>
          <w:lang w:val="ka-GE"/>
        </w:rPr>
        <w:t xml:space="preserve"> უკვე 2014 წლიდან, მრავალ ევროპულ ქვეყნებსა და ამერიკაში დანერგილია სკრინინგ პროგრამა, </w:t>
      </w:r>
      <w:r w:rsidR="007F0B24">
        <w:rPr>
          <w:rFonts w:ascii="Sylfaen" w:hAnsi="Sylfaen"/>
          <w:lang w:val="ka-GE"/>
        </w:rPr>
        <w:t>რომელიც</w:t>
      </w:r>
      <w:r w:rsidR="006C6839">
        <w:rPr>
          <w:rFonts w:ascii="Sylfaen" w:hAnsi="Sylfaen"/>
          <w:lang w:val="ka-GE"/>
        </w:rPr>
        <w:t xml:space="preserve"> გულისხმობს გენეტიკური ანალიზის ჩატარებას აღნიშნული მუტაციების მიხედვით, მაღალი რისკის მქონე ქალების გამოვლენას</w:t>
      </w:r>
      <w:r w:rsidR="00C7036C">
        <w:rPr>
          <w:rFonts w:ascii="Sylfaen" w:hAnsi="Sylfaen"/>
          <w:lang w:val="ka-GE"/>
        </w:rPr>
        <w:t>ა</w:t>
      </w:r>
      <w:r w:rsidR="006C6839">
        <w:rPr>
          <w:rFonts w:ascii="Sylfaen" w:hAnsi="Sylfaen"/>
          <w:lang w:val="ka-GE"/>
        </w:rPr>
        <w:t xml:space="preserve"> და მათ შესაბამის მკურნალობა</w:t>
      </w:r>
      <w:r w:rsidR="00C7036C">
        <w:rPr>
          <w:rFonts w:ascii="Sylfaen" w:hAnsi="Sylfaen"/>
          <w:lang w:val="ka-GE"/>
        </w:rPr>
        <w:t>ს.</w:t>
      </w:r>
      <w:r w:rsidR="006C6839">
        <w:rPr>
          <w:rFonts w:ascii="Sylfaen" w:hAnsi="Sylfaen"/>
          <w:lang w:val="ka-GE"/>
        </w:rPr>
        <w:t xml:space="preserve">ასევე </w:t>
      </w:r>
      <w:r>
        <w:rPr>
          <w:rFonts w:ascii="Sylfaen" w:hAnsi="Sylfaen"/>
          <w:lang w:val="ka-GE"/>
        </w:rPr>
        <w:t>მნიშვნელოვანია</w:t>
      </w:r>
      <w:r w:rsidR="006C6839">
        <w:rPr>
          <w:rFonts w:ascii="Sylfaen" w:hAnsi="Sylfaen"/>
          <w:lang w:val="ka-GE"/>
        </w:rPr>
        <w:t xml:space="preserve"> </w:t>
      </w:r>
      <w:r w:rsidR="00C7036C">
        <w:rPr>
          <w:rFonts w:ascii="Sylfaen" w:hAnsi="Sylfaen"/>
          <w:lang w:val="ka-GE"/>
        </w:rPr>
        <w:t xml:space="preserve">ამ </w:t>
      </w:r>
      <w:r>
        <w:rPr>
          <w:rFonts w:ascii="Sylfaen" w:hAnsi="Sylfaen"/>
          <w:lang w:val="ka-GE"/>
        </w:rPr>
        <w:t>დაავადების</w:t>
      </w:r>
      <w:r w:rsidR="00C7036C">
        <w:rPr>
          <w:rFonts w:ascii="Sylfaen" w:hAnsi="Sylfaen"/>
          <w:lang w:val="ka-GE"/>
        </w:rPr>
        <w:t xml:space="preserve"> ადრეული სკრინინგი</w:t>
      </w:r>
      <w:r>
        <w:rPr>
          <w:rFonts w:ascii="Sylfaen" w:hAnsi="Sylfaen"/>
          <w:lang w:val="ka-GE"/>
        </w:rPr>
        <w:t xml:space="preserve">, ვინაიდან </w:t>
      </w:r>
      <w:r w:rsidR="006C6839">
        <w:rPr>
          <w:rFonts w:ascii="Sylfaen" w:hAnsi="Sylfaen"/>
          <w:lang w:val="ka-GE"/>
        </w:rPr>
        <w:t>ამ შემთხვევაში</w:t>
      </w:r>
      <w:r>
        <w:rPr>
          <w:rFonts w:ascii="Sylfaen" w:hAnsi="Sylfaen"/>
          <w:lang w:val="ka-GE"/>
        </w:rPr>
        <w:t xml:space="preserve"> საკვერცხის </w:t>
      </w:r>
      <w:r w:rsidR="00F60B50">
        <w:rPr>
          <w:rFonts w:ascii="Sylfaen" w:hAnsi="Sylfaen"/>
          <w:lang w:val="ka-GE"/>
        </w:rPr>
        <w:t xml:space="preserve">და ძუძუს </w:t>
      </w:r>
      <w:r>
        <w:rPr>
          <w:rFonts w:ascii="Sylfaen" w:hAnsi="Sylfaen"/>
          <w:lang w:val="ka-GE"/>
        </w:rPr>
        <w:t xml:space="preserve">კიბოს 5-წლიანი სიცოცხლისუნარიანობა აღემატება </w:t>
      </w:r>
      <w:r w:rsidR="006C6839">
        <w:rPr>
          <w:rFonts w:ascii="Sylfaen" w:hAnsi="Sylfaen"/>
          <w:lang w:val="ka-GE"/>
        </w:rPr>
        <w:t xml:space="preserve">&gt;90% და პროგნოზულად უფრო კეთილსაიმედოა. გარდა ამისა, გასათვალისწინებელი ის ფაქტიც, რომ აღნიშნული სკრინინგით შესაძლებელია დაავადების პრევენცია მოხდეს სწორედ ყველაზე შრომისუნარიანი ქალების ჯგუფში, რაც ჩვენი ქვეყნის </w:t>
      </w:r>
      <w:r w:rsidR="00096B21">
        <w:rPr>
          <w:rFonts w:ascii="Sylfaen" w:hAnsi="Sylfaen"/>
          <w:lang w:val="ka-GE"/>
        </w:rPr>
        <w:t>სოციალურ</w:t>
      </w:r>
      <w:r w:rsidR="006C6839">
        <w:rPr>
          <w:rFonts w:ascii="Sylfaen" w:hAnsi="Sylfaen"/>
          <w:lang w:val="ka-GE"/>
        </w:rPr>
        <w:t>-ეკონომიკური განვითარებისთვის მნიშვნელოვანი ფაქტორია.</w:t>
      </w:r>
    </w:p>
    <w:p w:rsidR="00E25E54" w:rsidRDefault="008E7D57" w:rsidP="00E25E54">
      <w:pPr>
        <w:jc w:val="both"/>
        <w:rPr>
          <w:rFonts w:ascii="Sylfaen" w:hAnsi="Sylfaen"/>
          <w:b/>
          <w:sz w:val="28"/>
          <w:lang w:val="ka-GE"/>
        </w:rPr>
      </w:pPr>
      <w:r w:rsidRPr="00E25E54">
        <w:rPr>
          <w:rFonts w:ascii="Sylfaen" w:hAnsi="Sylfaen"/>
          <w:b/>
          <w:sz w:val="28"/>
          <w:lang w:val="ka-GE"/>
        </w:rPr>
        <w:t xml:space="preserve">მიზანი: </w:t>
      </w:r>
    </w:p>
    <w:p w:rsidR="00FE6386" w:rsidRDefault="00FE6386" w:rsidP="00E25E54">
      <w:pPr>
        <w:pStyle w:val="ListParagraph"/>
        <w:numPr>
          <w:ilvl w:val="0"/>
          <w:numId w:val="3"/>
        </w:numPr>
        <w:jc w:val="both"/>
        <w:rPr>
          <w:rFonts w:ascii="Sylfaen" w:hAnsi="Sylfaen"/>
          <w:lang w:val="ka-GE"/>
        </w:rPr>
      </w:pPr>
      <w:r>
        <w:rPr>
          <w:rFonts w:ascii="Sylfaen" w:hAnsi="Sylfaen" w:cs="Sylfaen"/>
          <w:lang w:val="ka-GE"/>
        </w:rPr>
        <w:t xml:space="preserve">საქართველოს პოპულაციაში </w:t>
      </w:r>
      <w:r w:rsidRPr="00E25E54">
        <w:rPr>
          <w:rFonts w:ascii="Sylfaen" w:hAnsi="Sylfaen"/>
          <w:lang w:val="ka-GE"/>
        </w:rPr>
        <w:t>(ქალები 20 – 45</w:t>
      </w:r>
      <w:r>
        <w:rPr>
          <w:rFonts w:ascii="Sylfaen" w:hAnsi="Sylfaen"/>
          <w:lang w:val="ka-GE"/>
        </w:rPr>
        <w:t xml:space="preserve"> </w:t>
      </w:r>
      <w:r w:rsidRPr="00E25E54">
        <w:rPr>
          <w:rFonts w:ascii="Sylfaen" w:hAnsi="Sylfaen"/>
          <w:lang w:val="ka-GE"/>
        </w:rPr>
        <w:t>წლამდე ≈ 640,4 ათასი ქალი</w:t>
      </w:r>
      <w:sdt>
        <w:sdtPr>
          <w:rPr>
            <w:lang w:val="ka-GE"/>
          </w:rPr>
          <w:id w:val="1800348"/>
          <w:citation/>
        </w:sdtPr>
        <w:sdtEndPr/>
        <w:sdtContent>
          <w:r w:rsidR="007B0ED7" w:rsidRPr="00E25E54">
            <w:rPr>
              <w:rFonts w:ascii="Sylfaen" w:hAnsi="Sylfaen"/>
              <w:lang w:val="ka-GE"/>
            </w:rPr>
            <w:fldChar w:fldCharType="begin"/>
          </w:r>
          <w:r w:rsidRPr="00E25E54">
            <w:rPr>
              <w:rFonts w:ascii="Sylfaen" w:hAnsi="Sylfaen"/>
              <w:lang w:val="ka-GE"/>
            </w:rPr>
            <w:instrText xml:space="preserve"> CITATION Nat17 \l 1079 </w:instrText>
          </w:r>
          <w:r w:rsidR="007B0ED7" w:rsidRPr="00E25E54">
            <w:rPr>
              <w:rFonts w:ascii="Sylfaen" w:hAnsi="Sylfaen"/>
              <w:lang w:val="ka-GE"/>
            </w:rPr>
            <w:fldChar w:fldCharType="separate"/>
          </w:r>
          <w:r w:rsidR="002F0AF2">
            <w:rPr>
              <w:rFonts w:ascii="Sylfaen" w:hAnsi="Sylfaen"/>
              <w:noProof/>
              <w:lang w:val="ka-GE"/>
            </w:rPr>
            <w:t xml:space="preserve"> </w:t>
          </w:r>
          <w:r w:rsidR="002F0AF2" w:rsidRPr="002F0AF2">
            <w:rPr>
              <w:rFonts w:ascii="Sylfaen" w:hAnsi="Sylfaen"/>
              <w:noProof/>
              <w:lang w:val="ka-GE"/>
            </w:rPr>
            <w:t>(National Center for Disease Control and Public Health, 2017)</w:t>
          </w:r>
          <w:r w:rsidR="007B0ED7" w:rsidRPr="00E25E54">
            <w:rPr>
              <w:rFonts w:ascii="Sylfaen" w:hAnsi="Sylfaen"/>
              <w:lang w:val="ka-GE"/>
            </w:rPr>
            <w:fldChar w:fldCharType="end"/>
          </w:r>
        </w:sdtContent>
      </w:sdt>
      <w:r w:rsidRPr="00E25E54">
        <w:rPr>
          <w:rFonts w:ascii="Sylfaen" w:hAnsi="Sylfaen"/>
          <w:lang w:val="ka-GE"/>
        </w:rPr>
        <w:t>)</w:t>
      </w:r>
      <w:r>
        <w:rPr>
          <w:rFonts w:ascii="Sylfaen" w:hAnsi="Sylfaen"/>
          <w:lang w:val="ka-GE"/>
        </w:rPr>
        <w:t xml:space="preserve">, გენეკური სკრინინგის საფუძველზე (BRCA1 და </w:t>
      </w:r>
      <w:r w:rsidRPr="00FE6386">
        <w:rPr>
          <w:rFonts w:ascii="Sylfaen" w:hAnsi="Sylfaen"/>
          <w:lang w:val="ka-GE"/>
        </w:rPr>
        <w:t>BRCA2</w:t>
      </w:r>
      <w:r>
        <w:rPr>
          <w:rFonts w:ascii="Sylfaen" w:hAnsi="Sylfaen"/>
          <w:lang w:val="ka-GE"/>
        </w:rPr>
        <w:t xml:space="preserve"> მუტაცია) საკვერცხისა და ძუძუს კიბოს მაღალი რისკის მქონე ქალების გამოვლენა. </w:t>
      </w:r>
    </w:p>
    <w:p w:rsidR="003F181A" w:rsidRDefault="00FE6386" w:rsidP="00E25E54">
      <w:pPr>
        <w:pStyle w:val="ListParagraph"/>
        <w:numPr>
          <w:ilvl w:val="0"/>
          <w:numId w:val="3"/>
        </w:numPr>
        <w:jc w:val="both"/>
        <w:rPr>
          <w:rFonts w:ascii="Sylfaen" w:hAnsi="Sylfaen"/>
          <w:lang w:val="ka-GE"/>
        </w:rPr>
      </w:pPr>
      <w:r>
        <w:rPr>
          <w:rFonts w:ascii="Sylfaen" w:hAnsi="Sylfaen" w:cs="Sylfaen"/>
          <w:lang w:val="ka-GE"/>
        </w:rPr>
        <w:t>მაღალი</w:t>
      </w:r>
      <w:r w:rsidR="00B1027B">
        <w:rPr>
          <w:rFonts w:ascii="Sylfaen" w:hAnsi="Sylfaen"/>
          <w:lang w:val="ka-GE"/>
        </w:rPr>
        <w:t xml:space="preserve"> </w:t>
      </w:r>
      <w:r w:rsidR="00E33063" w:rsidRPr="00E25E54">
        <w:rPr>
          <w:rFonts w:ascii="Sylfaen" w:hAnsi="Sylfaen"/>
          <w:lang w:val="ka-GE"/>
        </w:rPr>
        <w:t>რისკ</w:t>
      </w:r>
      <w:r w:rsidR="00B1027B">
        <w:rPr>
          <w:rFonts w:ascii="Sylfaen" w:hAnsi="Sylfaen"/>
          <w:lang w:val="ka-GE"/>
        </w:rPr>
        <w:t xml:space="preserve">ის </w:t>
      </w:r>
      <w:r>
        <w:rPr>
          <w:rFonts w:ascii="Sylfaen" w:hAnsi="Sylfaen"/>
          <w:lang w:val="ka-GE"/>
        </w:rPr>
        <w:t>ჯგუფებში შესაბამისი რეკომენდაციების გაცემა</w:t>
      </w:r>
      <w:r w:rsidR="005F7E40">
        <w:rPr>
          <w:rFonts w:ascii="Sylfaen" w:hAnsi="Sylfaen"/>
          <w:lang w:val="ka-GE"/>
        </w:rPr>
        <w:t>:</w:t>
      </w:r>
      <w:r w:rsidR="003F181A">
        <w:rPr>
          <w:rFonts w:ascii="Sylfaen" w:hAnsi="Sylfaen"/>
          <w:lang w:val="ka-GE"/>
        </w:rPr>
        <w:t xml:space="preserve"> </w:t>
      </w:r>
    </w:p>
    <w:p w:rsidR="003F181A" w:rsidRDefault="003F181A" w:rsidP="000B607F">
      <w:pPr>
        <w:pStyle w:val="ListParagraph"/>
        <w:jc w:val="both"/>
        <w:rPr>
          <w:rFonts w:ascii="Sylfaen" w:hAnsi="Sylfaen"/>
          <w:lang w:val="ka-GE"/>
        </w:rPr>
      </w:pPr>
      <w:r>
        <w:rPr>
          <w:rFonts w:ascii="Sylfaen" w:hAnsi="Sylfaen"/>
          <w:lang w:val="ka-GE"/>
        </w:rPr>
        <w:t>1)</w:t>
      </w:r>
      <w:r w:rsidRPr="003F181A">
        <w:rPr>
          <w:rFonts w:ascii="Sylfaen" w:hAnsi="Sylfaen"/>
          <w:lang w:val="ka-GE"/>
        </w:rPr>
        <w:t xml:space="preserve"> </w:t>
      </w:r>
      <w:r w:rsidRPr="00B1027B">
        <w:rPr>
          <w:rFonts w:ascii="Sylfaen" w:hAnsi="Sylfaen"/>
          <w:lang w:val="ka-GE"/>
        </w:rPr>
        <w:t>BRCA1</w:t>
      </w:r>
      <w:r>
        <w:rPr>
          <w:rFonts w:ascii="Sylfaen" w:hAnsi="Sylfaen"/>
          <w:lang w:val="ka-GE"/>
        </w:rPr>
        <w:t xml:space="preserve">  მუტაციის დროს </w:t>
      </w:r>
      <w:r w:rsidR="00FE6386">
        <w:rPr>
          <w:rFonts w:ascii="Sylfaen" w:hAnsi="Sylfaen"/>
          <w:lang w:val="ka-GE"/>
        </w:rPr>
        <w:t>გეგმიური</w:t>
      </w:r>
      <w:r w:rsidR="00E33063" w:rsidRPr="00E25E54">
        <w:rPr>
          <w:rFonts w:ascii="Sylfaen" w:hAnsi="Sylfaen"/>
          <w:lang w:val="ka-GE"/>
        </w:rPr>
        <w:t xml:space="preserve"> ქირურგიული </w:t>
      </w:r>
      <w:r w:rsidR="00FE6386">
        <w:rPr>
          <w:rFonts w:ascii="Sylfaen" w:hAnsi="Sylfaen"/>
          <w:lang w:val="ka-GE"/>
        </w:rPr>
        <w:t>მკურნალობა</w:t>
      </w:r>
      <w:r w:rsidR="00E33063" w:rsidRPr="00E25E54">
        <w:rPr>
          <w:rFonts w:ascii="Sylfaen" w:hAnsi="Sylfaen"/>
          <w:lang w:val="ka-GE"/>
        </w:rPr>
        <w:t xml:space="preserve"> </w:t>
      </w:r>
      <w:r w:rsidR="00FE6386">
        <w:rPr>
          <w:rFonts w:ascii="Sylfaen" w:hAnsi="Sylfaen"/>
          <w:lang w:val="ka-GE"/>
        </w:rPr>
        <w:t>3</w:t>
      </w:r>
      <w:r w:rsidR="00E33063" w:rsidRPr="00E25E54">
        <w:rPr>
          <w:rFonts w:ascii="Sylfaen" w:hAnsi="Sylfaen"/>
          <w:lang w:val="ka-GE"/>
        </w:rPr>
        <w:t>5-40</w:t>
      </w:r>
      <w:r w:rsidR="00FE6386">
        <w:rPr>
          <w:rFonts w:ascii="Sylfaen" w:hAnsi="Sylfaen"/>
          <w:lang w:val="ka-GE"/>
        </w:rPr>
        <w:t>წ</w:t>
      </w:r>
      <w:r>
        <w:rPr>
          <w:rFonts w:ascii="Sylfaen" w:hAnsi="Sylfaen"/>
          <w:lang w:val="ka-GE"/>
        </w:rPr>
        <w:t>ლის ასაკში</w:t>
      </w:r>
    </w:p>
    <w:p w:rsidR="008E7D57" w:rsidRPr="00E25E54" w:rsidRDefault="003F181A" w:rsidP="000B607F">
      <w:pPr>
        <w:pStyle w:val="ListParagraph"/>
        <w:jc w:val="both"/>
        <w:rPr>
          <w:rFonts w:ascii="Sylfaen" w:hAnsi="Sylfaen"/>
          <w:lang w:val="ka-GE"/>
        </w:rPr>
      </w:pPr>
      <w:r>
        <w:rPr>
          <w:rFonts w:ascii="Sylfaen" w:hAnsi="Sylfaen"/>
          <w:lang w:val="ka-GE"/>
        </w:rPr>
        <w:t xml:space="preserve">2) </w:t>
      </w:r>
      <w:r w:rsidRPr="00B1027B">
        <w:rPr>
          <w:rFonts w:ascii="Sylfaen" w:hAnsi="Sylfaen"/>
          <w:lang w:val="ka-GE"/>
        </w:rPr>
        <w:t>BRCA2</w:t>
      </w:r>
      <w:r>
        <w:rPr>
          <w:rFonts w:ascii="Sylfaen" w:hAnsi="Sylfaen"/>
          <w:lang w:val="ka-GE"/>
        </w:rPr>
        <w:t xml:space="preserve">  მუტაციის შემთხვევაში გეგმიური</w:t>
      </w:r>
      <w:r w:rsidRPr="00E25E54">
        <w:rPr>
          <w:rFonts w:ascii="Sylfaen" w:hAnsi="Sylfaen"/>
          <w:lang w:val="ka-GE"/>
        </w:rPr>
        <w:t xml:space="preserve"> ქირურგიული </w:t>
      </w:r>
      <w:r>
        <w:rPr>
          <w:rFonts w:ascii="Sylfaen" w:hAnsi="Sylfaen"/>
          <w:lang w:val="ka-GE"/>
        </w:rPr>
        <w:t>მკურნალობა</w:t>
      </w:r>
      <w:r w:rsidRPr="00E25E54">
        <w:rPr>
          <w:rFonts w:ascii="Sylfaen" w:hAnsi="Sylfaen"/>
          <w:lang w:val="ka-GE"/>
        </w:rPr>
        <w:t xml:space="preserve"> </w:t>
      </w:r>
      <w:r w:rsidR="00E33063" w:rsidRPr="00E25E54">
        <w:rPr>
          <w:rFonts w:ascii="Sylfaen" w:hAnsi="Sylfaen"/>
          <w:lang w:val="ka-GE"/>
        </w:rPr>
        <w:t xml:space="preserve"> 40-45წლის</w:t>
      </w:r>
      <w:r>
        <w:rPr>
          <w:rFonts w:ascii="Sylfaen" w:hAnsi="Sylfaen"/>
          <w:lang w:val="ka-GE"/>
        </w:rPr>
        <w:t xml:space="preserve"> ასაკში</w:t>
      </w:r>
      <w:r w:rsidR="00FE6386">
        <w:rPr>
          <w:rFonts w:ascii="Sylfaen" w:hAnsi="Sylfaen"/>
          <w:lang w:val="ka-GE"/>
        </w:rPr>
        <w:t>.</w:t>
      </w:r>
    </w:p>
    <w:p w:rsidR="008E7D57" w:rsidRDefault="008E7D57" w:rsidP="008E7D57">
      <w:pPr>
        <w:jc w:val="both"/>
        <w:rPr>
          <w:rFonts w:ascii="Sylfaen" w:hAnsi="Sylfaen"/>
          <w:b/>
          <w:sz w:val="28"/>
          <w:lang w:val="ka-GE"/>
        </w:rPr>
      </w:pPr>
      <w:r>
        <w:rPr>
          <w:rFonts w:ascii="Sylfaen" w:hAnsi="Sylfaen"/>
          <w:b/>
          <w:sz w:val="28"/>
          <w:lang w:val="ka-GE"/>
        </w:rPr>
        <w:t>ამოცანები</w:t>
      </w:r>
      <w:r w:rsidR="00E33063">
        <w:rPr>
          <w:rFonts w:ascii="Sylfaen" w:hAnsi="Sylfaen"/>
          <w:b/>
          <w:sz w:val="28"/>
          <w:lang w:val="ka-GE"/>
        </w:rPr>
        <w:t>:</w:t>
      </w:r>
    </w:p>
    <w:p w:rsidR="00FE6386" w:rsidRDefault="00FE6386" w:rsidP="00FE6386">
      <w:pPr>
        <w:pStyle w:val="ListParagraph"/>
        <w:numPr>
          <w:ilvl w:val="0"/>
          <w:numId w:val="4"/>
        </w:numPr>
        <w:jc w:val="both"/>
        <w:rPr>
          <w:rFonts w:ascii="Sylfaen" w:hAnsi="Sylfaen"/>
          <w:lang w:val="ka-GE"/>
        </w:rPr>
      </w:pPr>
      <w:r w:rsidRPr="00FE6386">
        <w:rPr>
          <w:rFonts w:ascii="Sylfaen" w:hAnsi="Sylfaen" w:cs="Sylfaen"/>
          <w:lang w:val="ka-GE"/>
        </w:rPr>
        <w:t>საქართველოს</w:t>
      </w:r>
      <w:r w:rsidRPr="00FE6386">
        <w:rPr>
          <w:rFonts w:ascii="Sylfaen" w:hAnsi="Sylfaen"/>
          <w:lang w:val="ka-GE"/>
        </w:rPr>
        <w:t xml:space="preserve"> მასშტაბით არსებული ამბულატორიული ცენტრე</w:t>
      </w:r>
      <w:r>
        <w:rPr>
          <w:rFonts w:ascii="Sylfaen" w:hAnsi="Sylfaen"/>
          <w:lang w:val="ka-GE"/>
        </w:rPr>
        <w:t>ბის ჩართვა სკრინინგ პროგრამაში</w:t>
      </w:r>
      <w:r w:rsidR="00C055CE">
        <w:rPr>
          <w:rFonts w:ascii="Sylfaen" w:hAnsi="Sylfaen"/>
          <w:lang w:val="ka-GE"/>
        </w:rPr>
        <w:t xml:space="preserve">: ექიმების </w:t>
      </w:r>
      <w:r w:rsidR="004B4CE1">
        <w:rPr>
          <w:rFonts w:ascii="Sylfaen" w:hAnsi="Sylfaen"/>
          <w:lang w:val="ka-GE"/>
        </w:rPr>
        <w:t>ინფორმირებულობა</w:t>
      </w:r>
      <w:r w:rsidR="00C055CE">
        <w:rPr>
          <w:rFonts w:ascii="Sylfaen" w:hAnsi="Sylfaen"/>
          <w:lang w:val="ka-GE"/>
        </w:rPr>
        <w:t xml:space="preserve"> და მათი შესაბამისი პროგრამისთვის მზადება (ტრენინგ კურსები)</w:t>
      </w:r>
    </w:p>
    <w:p w:rsidR="00B6283D" w:rsidRDefault="00FE6386" w:rsidP="00FE6386">
      <w:pPr>
        <w:pStyle w:val="ListParagraph"/>
        <w:numPr>
          <w:ilvl w:val="0"/>
          <w:numId w:val="4"/>
        </w:numPr>
        <w:jc w:val="both"/>
        <w:rPr>
          <w:rFonts w:ascii="Sylfaen" w:hAnsi="Sylfaen"/>
          <w:lang w:val="ka-GE"/>
        </w:rPr>
      </w:pPr>
      <w:r>
        <w:rPr>
          <w:rFonts w:ascii="Sylfaen" w:hAnsi="Sylfaen"/>
          <w:lang w:val="ka-GE"/>
        </w:rPr>
        <w:t>ექიმი</w:t>
      </w:r>
      <w:r w:rsidR="00C055CE">
        <w:rPr>
          <w:rFonts w:ascii="Sylfaen" w:hAnsi="Sylfaen"/>
          <w:lang w:val="ka-GE"/>
        </w:rPr>
        <w:t xml:space="preserve"> </w:t>
      </w:r>
      <w:r>
        <w:rPr>
          <w:rFonts w:ascii="Sylfaen" w:hAnsi="Sylfaen"/>
          <w:lang w:val="ka-GE"/>
        </w:rPr>
        <w:t xml:space="preserve">მეან-გინეკოლოგების, ონკოლოგებისა და </w:t>
      </w:r>
      <w:r w:rsidR="00B6283D">
        <w:rPr>
          <w:rFonts w:ascii="Sylfaen" w:hAnsi="Sylfaen"/>
          <w:lang w:val="ka-GE"/>
        </w:rPr>
        <w:t>მამოლოგების ჩართვა სკრინინგ პროგრამაში</w:t>
      </w:r>
    </w:p>
    <w:p w:rsidR="009D0AA4" w:rsidRDefault="00B6283D" w:rsidP="00FE6386">
      <w:pPr>
        <w:pStyle w:val="ListParagraph"/>
        <w:numPr>
          <w:ilvl w:val="0"/>
          <w:numId w:val="4"/>
        </w:numPr>
        <w:jc w:val="both"/>
        <w:rPr>
          <w:rFonts w:ascii="Sylfaen" w:hAnsi="Sylfaen"/>
          <w:lang w:val="ka-GE"/>
        </w:rPr>
      </w:pPr>
      <w:r>
        <w:rPr>
          <w:rFonts w:ascii="Sylfaen" w:hAnsi="Sylfaen"/>
          <w:lang w:val="ka-GE"/>
        </w:rPr>
        <w:t>საერთაშორისოდ მიღებული კითხვარის საფუძველზე (</w:t>
      </w:r>
      <w:r w:rsidRPr="00B6283D">
        <w:rPr>
          <w:rFonts w:ascii="Sylfaen" w:hAnsi="Sylfaen"/>
          <w:lang w:val="ka-GE"/>
        </w:rPr>
        <w:t xml:space="preserve">Family History Questionnaire for Hereditary Cancer Syndromes) </w:t>
      </w:r>
      <w:r>
        <w:rPr>
          <w:rFonts w:ascii="Sylfaen" w:hAnsi="Sylfaen"/>
          <w:lang w:val="ka-GE"/>
        </w:rPr>
        <w:t>იმ რისკ</w:t>
      </w:r>
      <w:r w:rsidR="009D0AA4" w:rsidRPr="00FE6386">
        <w:rPr>
          <w:rFonts w:ascii="Sylfaen" w:hAnsi="Sylfaen"/>
          <w:lang w:val="ka-GE"/>
        </w:rPr>
        <w:t xml:space="preserve"> ჯგუფების გამოვლენა</w:t>
      </w:r>
      <w:r>
        <w:rPr>
          <w:rFonts w:ascii="Sylfaen" w:hAnsi="Sylfaen"/>
          <w:lang w:val="ka-GE"/>
        </w:rPr>
        <w:t>, რომლებიც საჭიროებენ გენეტიკურ სკრინინგს</w:t>
      </w:r>
      <w:r w:rsidR="00C055CE">
        <w:rPr>
          <w:rFonts w:ascii="Sylfaen" w:hAnsi="Sylfaen"/>
          <w:lang w:val="ka-GE"/>
        </w:rPr>
        <w:t xml:space="preserve">; არსებული კითხვარის </w:t>
      </w:r>
      <w:r w:rsidR="00552C38">
        <w:rPr>
          <w:rFonts w:ascii="Sylfaen" w:hAnsi="Sylfaen"/>
          <w:lang w:val="ka-GE"/>
        </w:rPr>
        <w:t>შემუშავება</w:t>
      </w:r>
      <w:r w:rsidR="00C055CE">
        <w:rPr>
          <w:rFonts w:ascii="Sylfaen" w:hAnsi="Sylfaen"/>
          <w:lang w:val="ka-GE"/>
        </w:rPr>
        <w:t xml:space="preserve"> და მოდიფიცირება (ქვეყანაში არსებულ შესაბამის კლინიკურ/სამეცნიერო ასოციაციებთან და ექსპერტებთან </w:t>
      </w:r>
      <w:r w:rsidR="00857B81">
        <w:rPr>
          <w:rFonts w:ascii="Sylfaen" w:hAnsi="Sylfaen"/>
          <w:lang w:val="ka-GE"/>
        </w:rPr>
        <w:t xml:space="preserve"> </w:t>
      </w:r>
      <w:r w:rsidR="00552C38">
        <w:rPr>
          <w:rFonts w:ascii="Sylfaen" w:hAnsi="Sylfaen"/>
          <w:lang w:val="ka-GE"/>
        </w:rPr>
        <w:t>შეთანხმებით</w:t>
      </w:r>
      <w:r w:rsidR="00C055CE">
        <w:rPr>
          <w:rFonts w:ascii="Sylfaen" w:hAnsi="Sylfaen"/>
          <w:lang w:val="ka-GE"/>
        </w:rPr>
        <w:t>)</w:t>
      </w:r>
    </w:p>
    <w:p w:rsidR="007313C1" w:rsidRPr="00FE6386" w:rsidRDefault="007313C1" w:rsidP="00FE6386">
      <w:pPr>
        <w:pStyle w:val="ListParagraph"/>
        <w:numPr>
          <w:ilvl w:val="0"/>
          <w:numId w:val="4"/>
        </w:numPr>
        <w:jc w:val="both"/>
        <w:rPr>
          <w:rFonts w:ascii="Sylfaen" w:hAnsi="Sylfaen"/>
          <w:lang w:val="ka-GE"/>
        </w:rPr>
      </w:pPr>
      <w:r>
        <w:rPr>
          <w:rFonts w:ascii="Sylfaen" w:hAnsi="Sylfaen"/>
          <w:lang w:val="ka-GE"/>
        </w:rPr>
        <w:t xml:space="preserve">მაღალი რისკის მქონე პაციენტების, არსებულ ეროვნულ სკრინინგ ცენტრებში გადამისამართება (ორი შესაძლო ვარიანი: 1) ადგილზევე ამბულატორიულად სისხლის ანალიზის აღება და შემდეგ ნიმუშის შესაბამის ლაბორატორიაში გადატანა; 2) პაციენტის პირდაპირ გადამისამართება შესაბამის ცენტრში/ლაბორატორიაში) </w:t>
      </w:r>
    </w:p>
    <w:p w:rsidR="009D0AA4" w:rsidRDefault="007313C1" w:rsidP="009D0AA4">
      <w:pPr>
        <w:pStyle w:val="ListParagraph"/>
        <w:numPr>
          <w:ilvl w:val="0"/>
          <w:numId w:val="1"/>
        </w:numPr>
        <w:jc w:val="both"/>
        <w:rPr>
          <w:rFonts w:ascii="Sylfaen" w:hAnsi="Sylfaen"/>
          <w:lang w:val="ka-GE"/>
        </w:rPr>
      </w:pPr>
      <w:r>
        <w:rPr>
          <w:rFonts w:ascii="Sylfaen" w:hAnsi="Sylfaen"/>
          <w:lang w:val="ka-GE"/>
        </w:rPr>
        <w:lastRenderedPageBreak/>
        <w:t xml:space="preserve">გენეტიკური </w:t>
      </w:r>
      <w:r w:rsidR="009D0AA4">
        <w:rPr>
          <w:rFonts w:ascii="Sylfaen" w:hAnsi="Sylfaen"/>
          <w:lang w:val="ka-GE"/>
        </w:rPr>
        <w:t>სკრინინგის ფარგლებში</w:t>
      </w:r>
      <w:r>
        <w:rPr>
          <w:rFonts w:ascii="Sylfaen" w:hAnsi="Sylfaen"/>
          <w:lang w:val="ka-GE"/>
        </w:rPr>
        <w:t xml:space="preserve"> გამოვლენილი დადებითი </w:t>
      </w:r>
      <w:r w:rsidR="009D0AA4" w:rsidRPr="009D0AA4">
        <w:rPr>
          <w:rFonts w:ascii="Sylfaen" w:hAnsi="Sylfaen"/>
          <w:lang w:val="ka-GE"/>
        </w:rPr>
        <w:t>BRCA1, BRCA2</w:t>
      </w:r>
      <w:r>
        <w:rPr>
          <w:rFonts w:ascii="Sylfaen" w:hAnsi="Sylfaen"/>
          <w:lang w:val="ka-GE"/>
        </w:rPr>
        <w:t xml:space="preserve"> </w:t>
      </w:r>
      <w:r w:rsidR="00552C38">
        <w:rPr>
          <w:rFonts w:ascii="Sylfaen" w:hAnsi="Sylfaen"/>
          <w:lang w:val="ka-GE"/>
        </w:rPr>
        <w:t>პაციენტების ინფორმირებულობა და</w:t>
      </w:r>
      <w:r>
        <w:rPr>
          <w:rFonts w:ascii="Sylfaen" w:hAnsi="Sylfaen"/>
          <w:lang w:val="ka-GE"/>
        </w:rPr>
        <w:t xml:space="preserve"> შესაბამისი რეკომენდაციების გაცემა:</w:t>
      </w:r>
    </w:p>
    <w:p w:rsidR="007313C1" w:rsidRDefault="007313C1" w:rsidP="007313C1">
      <w:pPr>
        <w:pStyle w:val="ListParagraph"/>
        <w:numPr>
          <w:ilvl w:val="0"/>
          <w:numId w:val="5"/>
        </w:numPr>
        <w:jc w:val="both"/>
        <w:rPr>
          <w:rFonts w:ascii="Sylfaen" w:hAnsi="Sylfaen"/>
          <w:lang w:val="ka-GE"/>
        </w:rPr>
      </w:pPr>
      <w:r w:rsidRPr="009D0AA4">
        <w:rPr>
          <w:rFonts w:ascii="Sylfaen" w:hAnsi="Sylfaen"/>
          <w:lang w:val="ka-GE"/>
        </w:rPr>
        <w:t>BRCA1</w:t>
      </w:r>
      <w:r>
        <w:rPr>
          <w:rFonts w:ascii="Sylfaen" w:hAnsi="Sylfaen"/>
          <w:lang w:val="ka-GE"/>
        </w:rPr>
        <w:t xml:space="preserve"> დადებითი: </w:t>
      </w:r>
      <w:r w:rsidR="002360B4">
        <w:rPr>
          <w:rFonts w:ascii="Sylfaen" w:hAnsi="Sylfaen"/>
          <w:lang w:val="ka-GE"/>
        </w:rPr>
        <w:t>რისკის-მარედუცირებელი ბილატერალური სალფინგო-ოოფორექტომია (</w:t>
      </w:r>
      <w:r w:rsidR="002360B4" w:rsidRPr="002360B4">
        <w:rPr>
          <w:rFonts w:ascii="Sylfaen" w:hAnsi="Sylfaen"/>
          <w:lang w:val="ka-GE"/>
        </w:rPr>
        <w:t xml:space="preserve">bilateral </w:t>
      </w:r>
      <w:r w:rsidR="002360B4">
        <w:rPr>
          <w:rFonts w:ascii="Sylfaen" w:hAnsi="Sylfaen"/>
          <w:lang w:val="ka-GE"/>
        </w:rPr>
        <w:t>risk-reduc</w:t>
      </w:r>
      <w:r w:rsidR="002360B4" w:rsidRPr="002360B4">
        <w:rPr>
          <w:rFonts w:ascii="Sylfaen" w:hAnsi="Sylfaen"/>
          <w:lang w:val="ka-GE"/>
        </w:rPr>
        <w:t xml:space="preserve">tion salphingo-oophorectomy) 35 – 40 </w:t>
      </w:r>
      <w:r w:rsidR="002360B4">
        <w:rPr>
          <w:rFonts w:ascii="Sylfaen" w:hAnsi="Sylfaen"/>
          <w:lang w:val="ka-GE"/>
        </w:rPr>
        <w:t>წლის ასაკში</w:t>
      </w:r>
    </w:p>
    <w:p w:rsidR="002360B4" w:rsidRDefault="002360B4" w:rsidP="002360B4">
      <w:pPr>
        <w:pStyle w:val="ListParagraph"/>
        <w:numPr>
          <w:ilvl w:val="0"/>
          <w:numId w:val="5"/>
        </w:numPr>
        <w:jc w:val="both"/>
        <w:rPr>
          <w:rFonts w:ascii="Sylfaen" w:hAnsi="Sylfaen"/>
          <w:lang w:val="ka-GE"/>
        </w:rPr>
      </w:pPr>
      <w:r>
        <w:rPr>
          <w:rFonts w:ascii="Sylfaen" w:hAnsi="Sylfaen"/>
          <w:lang w:val="ka-GE"/>
        </w:rPr>
        <w:t>BRCA2 დადებითი: რისკის-მარედუცირებელი ბილატერალური სალფინგო-ოოფორექტომია (</w:t>
      </w:r>
      <w:r w:rsidRPr="002360B4">
        <w:rPr>
          <w:rFonts w:ascii="Sylfaen" w:hAnsi="Sylfaen"/>
          <w:lang w:val="ka-GE"/>
        </w:rPr>
        <w:t xml:space="preserve">bilateral </w:t>
      </w:r>
      <w:r>
        <w:rPr>
          <w:rFonts w:ascii="Sylfaen" w:hAnsi="Sylfaen"/>
          <w:lang w:val="ka-GE"/>
        </w:rPr>
        <w:t>risk-reduc</w:t>
      </w:r>
      <w:r w:rsidRPr="002360B4">
        <w:rPr>
          <w:rFonts w:ascii="Sylfaen" w:hAnsi="Sylfaen"/>
          <w:lang w:val="ka-GE"/>
        </w:rPr>
        <w:t>tion salphingo-oophorectomy</w:t>
      </w:r>
      <w:r>
        <w:rPr>
          <w:rFonts w:ascii="Sylfaen" w:hAnsi="Sylfaen"/>
          <w:lang w:val="ka-GE"/>
        </w:rPr>
        <w:t>) 40</w:t>
      </w:r>
      <w:r w:rsidRPr="002360B4">
        <w:rPr>
          <w:rFonts w:ascii="Sylfaen" w:hAnsi="Sylfaen"/>
          <w:lang w:val="ka-GE"/>
        </w:rPr>
        <w:t xml:space="preserve"> –</w:t>
      </w:r>
      <w:r>
        <w:rPr>
          <w:rFonts w:ascii="Sylfaen" w:hAnsi="Sylfaen"/>
          <w:lang w:val="ka-GE"/>
        </w:rPr>
        <w:t xml:space="preserve"> 45</w:t>
      </w:r>
      <w:r w:rsidRPr="002360B4">
        <w:rPr>
          <w:rFonts w:ascii="Sylfaen" w:hAnsi="Sylfaen"/>
          <w:lang w:val="ka-GE"/>
        </w:rPr>
        <w:t xml:space="preserve"> </w:t>
      </w:r>
      <w:r>
        <w:rPr>
          <w:rFonts w:ascii="Sylfaen" w:hAnsi="Sylfaen"/>
          <w:lang w:val="ka-GE"/>
        </w:rPr>
        <w:t>წლის ასაკში</w:t>
      </w:r>
    </w:p>
    <w:p w:rsidR="002360B4" w:rsidRPr="002360B4" w:rsidRDefault="002360B4" w:rsidP="002360B4">
      <w:pPr>
        <w:pStyle w:val="ListParagraph"/>
        <w:numPr>
          <w:ilvl w:val="0"/>
          <w:numId w:val="5"/>
        </w:numPr>
        <w:jc w:val="both"/>
        <w:rPr>
          <w:rFonts w:ascii="Sylfaen" w:hAnsi="Sylfaen"/>
          <w:lang w:val="ka-GE"/>
        </w:rPr>
      </w:pPr>
      <w:r>
        <w:rPr>
          <w:rFonts w:ascii="Sylfaen" w:hAnsi="Sylfaen"/>
          <w:lang w:val="ka-GE"/>
        </w:rPr>
        <w:t>ნებისმიერი დადებითი ტესტის შემთხვევაში პაციენტის გადამისამართება ძუძუს კიბოს ეროვნულ სკრინინგ ცენტრში, შესაბამისი სკრინინგული კვლევების ჩასატარებლად და შემდგომი ქირურგიული მკურნალობის დასაგეგმად.</w:t>
      </w:r>
    </w:p>
    <w:p w:rsidR="008E7D57" w:rsidRDefault="008E7D57" w:rsidP="008E7D57">
      <w:pPr>
        <w:jc w:val="both"/>
        <w:rPr>
          <w:rFonts w:ascii="Sylfaen" w:hAnsi="Sylfaen"/>
          <w:b/>
          <w:sz w:val="28"/>
          <w:lang w:val="ka-GE"/>
        </w:rPr>
      </w:pPr>
      <w:r>
        <w:rPr>
          <w:rFonts w:ascii="Sylfaen" w:hAnsi="Sylfaen"/>
          <w:b/>
          <w:sz w:val="28"/>
          <w:lang w:val="ka-GE"/>
        </w:rPr>
        <w:t>ბიუჯეტი</w:t>
      </w:r>
      <w:r w:rsidR="004B21D9">
        <w:rPr>
          <w:rFonts w:ascii="Sylfaen" w:hAnsi="Sylfaen"/>
          <w:b/>
          <w:sz w:val="28"/>
          <w:lang w:val="ka-GE"/>
        </w:rPr>
        <w:t>:</w:t>
      </w:r>
    </w:p>
    <w:p w:rsidR="00F2305C" w:rsidRDefault="004B21D9" w:rsidP="008E7D57">
      <w:pPr>
        <w:jc w:val="both"/>
        <w:rPr>
          <w:rFonts w:ascii="Sylfaen" w:hAnsi="Sylfaen"/>
          <w:lang w:val="ka-GE"/>
        </w:rPr>
      </w:pPr>
      <w:r>
        <w:rPr>
          <w:rFonts w:ascii="Sylfaen" w:hAnsi="Sylfaen"/>
          <w:lang w:val="ka-GE"/>
        </w:rPr>
        <w:t>სახელმწიფოს</w:t>
      </w:r>
      <w:r w:rsidR="00F2305C">
        <w:rPr>
          <w:rFonts w:ascii="Sylfaen" w:hAnsi="Sylfaen"/>
          <w:lang w:val="ka-GE"/>
        </w:rPr>
        <w:t xml:space="preserve"> </w:t>
      </w:r>
      <w:r>
        <w:rPr>
          <w:rFonts w:ascii="Sylfaen" w:hAnsi="Sylfaen"/>
          <w:lang w:val="ka-GE"/>
        </w:rPr>
        <w:t>საყოველთაო ჯანდაცვის პროგრამის ფარგლებში</w:t>
      </w:r>
      <w:r w:rsidR="00F2305C">
        <w:rPr>
          <w:rFonts w:ascii="Sylfaen" w:hAnsi="Sylfaen"/>
          <w:lang w:val="ka-GE"/>
        </w:rPr>
        <w:t xml:space="preserve">, უკვე დიაგნოსტირებული საკვერცხის ავთვისებიანი სიმსივნით 1 პაციენტის მკურნალობის დანახარჯი მოიცავს: </w:t>
      </w:r>
    </w:p>
    <w:p w:rsidR="004B21D9" w:rsidRDefault="00F2305C" w:rsidP="00F2305C">
      <w:pPr>
        <w:pStyle w:val="ListParagraph"/>
        <w:numPr>
          <w:ilvl w:val="0"/>
          <w:numId w:val="1"/>
        </w:numPr>
        <w:jc w:val="both"/>
        <w:rPr>
          <w:rFonts w:ascii="Sylfaen" w:hAnsi="Sylfaen"/>
          <w:lang w:val="ka-GE"/>
        </w:rPr>
      </w:pPr>
      <w:r>
        <w:rPr>
          <w:rFonts w:ascii="Sylfaen" w:hAnsi="Sylfaen"/>
          <w:lang w:val="ka-GE"/>
        </w:rPr>
        <w:t xml:space="preserve">ქირურგიული მკურნალობა: 2900 – 3450ლ, საიდანა სახელმწიფო გამოყოფს მინ. 50% თანხისა. ამას ემატება ადგილობრივი თვითმართველობებიდან გამოყოფილი თანხები. </w:t>
      </w:r>
    </w:p>
    <w:p w:rsidR="00F2305C" w:rsidRDefault="00F2305C" w:rsidP="00F2305C">
      <w:pPr>
        <w:pStyle w:val="ListParagraph"/>
        <w:numPr>
          <w:ilvl w:val="0"/>
          <w:numId w:val="1"/>
        </w:numPr>
        <w:jc w:val="both"/>
        <w:rPr>
          <w:rFonts w:ascii="Sylfaen" w:hAnsi="Sylfaen"/>
          <w:lang w:val="ka-GE"/>
        </w:rPr>
      </w:pPr>
      <w:r>
        <w:rPr>
          <w:rFonts w:ascii="Sylfaen" w:hAnsi="Sylfaen"/>
          <w:lang w:val="ka-GE"/>
        </w:rPr>
        <w:t>ქირურგიული მკურნალობის შემდგომი ქიმიოთერაპია: სრული კურსის შემთხვევაში 350 – 480ლ, საიდანა ასევე მინ. 50% ანაზღაურებს სახელმწიფო და ასევე ადგილობრივი თვითმართველობა გამოყოფს თანხებს.</w:t>
      </w:r>
    </w:p>
    <w:p w:rsidR="00F2305C" w:rsidRDefault="00F2305C" w:rsidP="00F2305C">
      <w:pPr>
        <w:pStyle w:val="ListParagraph"/>
        <w:numPr>
          <w:ilvl w:val="0"/>
          <w:numId w:val="1"/>
        </w:numPr>
        <w:jc w:val="both"/>
        <w:rPr>
          <w:rFonts w:ascii="Sylfaen" w:hAnsi="Sylfaen"/>
          <w:lang w:val="ka-GE"/>
        </w:rPr>
      </w:pPr>
      <w:r>
        <w:rPr>
          <w:rFonts w:ascii="Sylfaen" w:hAnsi="Sylfaen"/>
          <w:lang w:val="ka-GE"/>
        </w:rPr>
        <w:t>ვინაიდან უკვე ჩამოყალიბებული საკვერცხის ავთვისებიანი სიმსივნის შემთხვევაში პროგნოზული გამოსავალი არ არის კეთილსაიმედო, რეციდივების (განმეორების) რისკი არის მაღალი. აქედან გამომდინარე, სახელმწიფო კიდევ დამატებით თანხებს გამოყოფს გეგმიურ განმეორებით მკურნალობაზე.</w:t>
      </w:r>
    </w:p>
    <w:p w:rsidR="00F2305C" w:rsidRDefault="00F2305C" w:rsidP="00F2305C">
      <w:pPr>
        <w:pStyle w:val="ListParagraph"/>
        <w:numPr>
          <w:ilvl w:val="0"/>
          <w:numId w:val="1"/>
        </w:numPr>
        <w:jc w:val="both"/>
        <w:rPr>
          <w:rFonts w:ascii="Sylfaen" w:hAnsi="Sylfaen"/>
          <w:lang w:val="ka-GE"/>
        </w:rPr>
      </w:pPr>
      <w:r>
        <w:rPr>
          <w:rFonts w:ascii="Sylfaen" w:hAnsi="Sylfaen"/>
          <w:lang w:val="ka-GE"/>
        </w:rPr>
        <w:t xml:space="preserve">შესაბამისად 1 პაციენტისთვის </w:t>
      </w:r>
      <w:r w:rsidR="001841A7">
        <w:rPr>
          <w:rFonts w:ascii="Sylfaen" w:hAnsi="Sylfaen"/>
          <w:lang w:val="ka-GE"/>
        </w:rPr>
        <w:t>სახელმწიფო</w:t>
      </w:r>
      <w:r>
        <w:rPr>
          <w:rFonts w:ascii="Sylfaen" w:hAnsi="Sylfaen"/>
          <w:lang w:val="ka-GE"/>
        </w:rPr>
        <w:t xml:space="preserve">  გამოყოფს მინ. 1625 – 1965ლარამდე, რაც არ მოიცავს დამატებით თვითმართველი ორგანოებიდან გამოყოფილ თანხებს და ასევე არ მოიცავს განმეორებითი მკურნალობის თანხებს.</w:t>
      </w:r>
    </w:p>
    <w:p w:rsidR="001E7FB4" w:rsidRPr="00F2305C" w:rsidRDefault="001E7FB4" w:rsidP="00F2305C">
      <w:pPr>
        <w:pStyle w:val="ListParagraph"/>
        <w:numPr>
          <w:ilvl w:val="0"/>
          <w:numId w:val="1"/>
        </w:numPr>
        <w:jc w:val="both"/>
        <w:rPr>
          <w:rFonts w:ascii="Sylfaen" w:hAnsi="Sylfaen"/>
          <w:lang w:val="ka-GE"/>
        </w:rPr>
      </w:pPr>
      <w:r>
        <w:rPr>
          <w:rFonts w:ascii="Sylfaen" w:hAnsi="Sylfaen"/>
          <w:lang w:val="ka-GE"/>
        </w:rPr>
        <w:t>გარდა ამისა, სახელმწიფოს მიერ ძირითად შემთხვევებში არ ფინანსდება პრე-ოპერაციული ლაბორატორიული და ინსტრუმენტული გამოკვლევები, რაც საჭიროა დიაგნოსტირებისთვის (მაგ. კომპიუტერული ტომოგრაფია, მაგნიტურ-რეზონანსული კვლევა და ა.შ).</w:t>
      </w:r>
    </w:p>
    <w:p w:rsidR="004B21D9" w:rsidRDefault="004B21D9" w:rsidP="008E7D57">
      <w:pPr>
        <w:jc w:val="both"/>
        <w:rPr>
          <w:rFonts w:ascii="Sylfaen" w:hAnsi="Sylfaen"/>
          <w:lang w:val="ka-GE"/>
        </w:rPr>
      </w:pPr>
      <w:r>
        <w:rPr>
          <w:rFonts w:ascii="Sylfaen" w:hAnsi="Sylfaen"/>
          <w:lang w:val="ka-GE"/>
        </w:rPr>
        <w:t xml:space="preserve">საქართველში ამჟამად, არსებობს კერძო </w:t>
      </w:r>
      <w:r w:rsidR="001E7FB4">
        <w:rPr>
          <w:rFonts w:ascii="Sylfaen" w:hAnsi="Sylfaen"/>
          <w:lang w:val="ka-GE"/>
        </w:rPr>
        <w:t>ლაბორატორიები</w:t>
      </w:r>
      <w:r>
        <w:rPr>
          <w:rFonts w:ascii="Sylfaen" w:hAnsi="Sylfaen"/>
          <w:lang w:val="ka-GE"/>
        </w:rPr>
        <w:t xml:space="preserve">, </w:t>
      </w:r>
      <w:r w:rsidR="001E7FB4">
        <w:rPr>
          <w:rFonts w:ascii="Sylfaen" w:hAnsi="Sylfaen"/>
          <w:lang w:val="ka-GE"/>
        </w:rPr>
        <w:t>რომლებიც</w:t>
      </w:r>
      <w:r>
        <w:rPr>
          <w:rFonts w:ascii="Sylfaen" w:hAnsi="Sylfaen"/>
          <w:lang w:val="ka-GE"/>
        </w:rPr>
        <w:t xml:space="preserve"> </w:t>
      </w:r>
      <w:r w:rsidR="001E7FB4">
        <w:rPr>
          <w:rFonts w:ascii="Sylfaen" w:hAnsi="Sylfaen"/>
          <w:lang w:val="ka-GE"/>
        </w:rPr>
        <w:t>ატარებენ</w:t>
      </w:r>
      <w:r>
        <w:rPr>
          <w:rFonts w:ascii="Sylfaen" w:hAnsi="Sylfaen"/>
          <w:lang w:val="ka-GE"/>
        </w:rPr>
        <w:t xml:space="preserve"> ზემოთ აღნიშნულ გენეტიკურ ანალიზს. ბაზარზე არსებული ფასი </w:t>
      </w:r>
      <w:r w:rsidRPr="009D0AA4">
        <w:rPr>
          <w:rFonts w:ascii="Sylfaen" w:hAnsi="Sylfaen"/>
          <w:lang w:val="ka-GE"/>
        </w:rPr>
        <w:t>BRCA1</w:t>
      </w:r>
      <w:r>
        <w:rPr>
          <w:rFonts w:ascii="Sylfaen" w:hAnsi="Sylfaen"/>
          <w:lang w:val="ka-GE"/>
        </w:rPr>
        <w:t xml:space="preserve"> და BRCA2 გენის მუტაციის იდენტიფიცირებისთვის </w:t>
      </w:r>
      <w:r w:rsidR="001E7FB4">
        <w:rPr>
          <w:rFonts w:ascii="Sylfaen" w:hAnsi="Sylfaen"/>
          <w:lang w:val="ka-GE"/>
        </w:rPr>
        <w:t>მერყეობს: თითო გენის ანალიზი 1400 – 2500ლ</w:t>
      </w:r>
      <w:r w:rsidR="00C055CE">
        <w:rPr>
          <w:rFonts w:ascii="Sylfaen" w:hAnsi="Sylfaen"/>
          <w:lang w:val="ka-GE"/>
        </w:rPr>
        <w:t>-</w:t>
      </w:r>
      <w:r w:rsidR="001E7FB4">
        <w:rPr>
          <w:rFonts w:ascii="Sylfaen" w:hAnsi="Sylfaen"/>
          <w:lang w:val="ka-GE"/>
        </w:rPr>
        <w:t>მდე, რაც თავის მხრივ მოიცავს კერძო კომპანიის მიერ მოგების პროცენტსაც</w:t>
      </w:r>
      <w:r w:rsidR="00301576">
        <w:rPr>
          <w:rFonts w:ascii="Sylfaen" w:hAnsi="Sylfaen"/>
          <w:lang w:val="ka-GE"/>
        </w:rPr>
        <w:t xml:space="preserve"> (</w:t>
      </w:r>
      <w:r w:rsidR="00301576">
        <w:rPr>
          <w:rFonts w:ascii="Sylfaen" w:hAnsi="Sylfaen"/>
        </w:rPr>
        <w:t>5</w:t>
      </w:r>
      <w:r w:rsidR="00301576">
        <w:rPr>
          <w:rFonts w:ascii="Sylfaen" w:hAnsi="Sylfaen"/>
          <w:lang w:val="ka-GE"/>
        </w:rPr>
        <w:t xml:space="preserve">0 – </w:t>
      </w:r>
      <w:r w:rsidR="00301576">
        <w:rPr>
          <w:rFonts w:ascii="Sylfaen" w:hAnsi="Sylfaen"/>
        </w:rPr>
        <w:t>6</w:t>
      </w:r>
      <w:r w:rsidR="001E7FB4">
        <w:rPr>
          <w:rFonts w:ascii="Sylfaen" w:hAnsi="Sylfaen"/>
          <w:lang w:val="ka-GE"/>
        </w:rPr>
        <w:t>0%).</w:t>
      </w:r>
    </w:p>
    <w:p w:rsidR="00C055CE" w:rsidRPr="00301576" w:rsidRDefault="001E7FB4" w:rsidP="008E7D57">
      <w:pPr>
        <w:jc w:val="both"/>
        <w:rPr>
          <w:rFonts w:ascii="Sylfaen" w:hAnsi="Sylfaen"/>
          <w:lang w:val="ka-GE"/>
        </w:rPr>
      </w:pPr>
      <w:r>
        <w:rPr>
          <w:rFonts w:ascii="Sylfaen" w:hAnsi="Sylfaen"/>
          <w:lang w:val="ka-GE"/>
        </w:rPr>
        <w:lastRenderedPageBreak/>
        <w:t>სახელმწიფოს</w:t>
      </w:r>
      <w:r w:rsidR="00A20F4A">
        <w:rPr>
          <w:rFonts w:ascii="Sylfaen" w:hAnsi="Sylfaen"/>
          <w:lang w:val="ka-GE"/>
        </w:rPr>
        <w:t xml:space="preserve">თვის </w:t>
      </w:r>
      <w:r>
        <w:rPr>
          <w:rFonts w:ascii="Sylfaen" w:hAnsi="Sylfaen"/>
          <w:lang w:val="ka-GE"/>
        </w:rPr>
        <w:t xml:space="preserve">გენეტიკური ანალიზის </w:t>
      </w:r>
      <w:r w:rsidR="00A20F4A">
        <w:rPr>
          <w:rFonts w:ascii="Sylfaen" w:hAnsi="Sylfaen"/>
          <w:lang w:val="ka-GE"/>
        </w:rPr>
        <w:t>ჩასატარებლად</w:t>
      </w:r>
      <w:r>
        <w:rPr>
          <w:rFonts w:ascii="Sylfaen" w:hAnsi="Sylfaen"/>
          <w:lang w:val="ka-GE"/>
        </w:rPr>
        <w:t xml:space="preserve"> </w:t>
      </w:r>
      <w:r w:rsidR="00A20F4A">
        <w:rPr>
          <w:rFonts w:ascii="Sylfaen" w:hAnsi="Sylfaen"/>
          <w:lang w:val="ka-GE"/>
        </w:rPr>
        <w:t xml:space="preserve">გამოყოფილი თანხა შესაძლოა მერყეობდეს </w:t>
      </w:r>
      <w:r w:rsidR="00301576">
        <w:rPr>
          <w:rFonts w:ascii="Sylfaen" w:hAnsi="Sylfaen"/>
        </w:rPr>
        <w:t>2</w:t>
      </w:r>
      <w:r>
        <w:rPr>
          <w:rFonts w:ascii="Sylfaen" w:hAnsi="Sylfaen"/>
          <w:lang w:val="ka-GE"/>
        </w:rPr>
        <w:t>00 –</w:t>
      </w:r>
      <w:r w:rsidR="00301576">
        <w:rPr>
          <w:rFonts w:ascii="Sylfaen" w:hAnsi="Sylfaen"/>
          <w:lang w:val="ka-GE"/>
        </w:rPr>
        <w:t xml:space="preserve"> </w:t>
      </w:r>
      <w:r w:rsidR="00301576">
        <w:rPr>
          <w:rFonts w:ascii="Sylfaen" w:hAnsi="Sylfaen"/>
        </w:rPr>
        <w:t>3</w:t>
      </w:r>
      <w:r w:rsidR="00301576">
        <w:rPr>
          <w:rFonts w:ascii="Sylfaen" w:hAnsi="Sylfaen"/>
          <w:lang w:val="ka-GE"/>
        </w:rPr>
        <w:t>0</w:t>
      </w:r>
      <w:r>
        <w:rPr>
          <w:rFonts w:ascii="Sylfaen" w:hAnsi="Sylfaen"/>
          <w:lang w:val="ka-GE"/>
        </w:rPr>
        <w:t>0ლ</w:t>
      </w:r>
      <w:r w:rsidR="00A20F4A">
        <w:rPr>
          <w:rFonts w:ascii="Sylfaen" w:hAnsi="Sylfaen"/>
          <w:lang w:val="ka-GE"/>
        </w:rPr>
        <w:t>არის ფარგლებში</w:t>
      </w:r>
      <w:r>
        <w:rPr>
          <w:rFonts w:ascii="Sylfaen" w:hAnsi="Sylfaen"/>
          <w:lang w:val="ka-GE"/>
        </w:rPr>
        <w:t xml:space="preserve"> (ძირი თანხა</w:t>
      </w:r>
      <w:r w:rsidR="00301576">
        <w:rPr>
          <w:rFonts w:ascii="Sylfaen" w:hAnsi="Sylfaen"/>
          <w:lang w:val="ka-GE"/>
        </w:rPr>
        <w:t>)</w:t>
      </w:r>
      <w:r w:rsidR="00301576">
        <w:rPr>
          <w:rFonts w:ascii="Sylfaen" w:hAnsi="Sylfaen"/>
        </w:rPr>
        <w:t xml:space="preserve">, </w:t>
      </w:r>
      <w:r w:rsidR="00301576">
        <w:rPr>
          <w:rFonts w:ascii="Sylfaen" w:hAnsi="Sylfaen"/>
          <w:lang w:val="ka-GE"/>
        </w:rPr>
        <w:t>ერთ</w:t>
      </w:r>
      <w:r w:rsidR="00A20F4A">
        <w:rPr>
          <w:rFonts w:ascii="Sylfaen" w:hAnsi="Sylfaen"/>
          <w:lang w:val="ka-GE"/>
        </w:rPr>
        <w:t>ი</w:t>
      </w:r>
      <w:r w:rsidR="00301576">
        <w:rPr>
          <w:rFonts w:ascii="Sylfaen" w:hAnsi="Sylfaen"/>
          <w:lang w:val="ka-GE"/>
        </w:rPr>
        <w:t xml:space="preserve"> გენის </w:t>
      </w:r>
      <w:r w:rsidR="00A20F4A">
        <w:rPr>
          <w:rFonts w:ascii="Sylfaen" w:hAnsi="Sylfaen"/>
          <w:lang w:val="ka-GE"/>
        </w:rPr>
        <w:t>მუტაციის განსაზღვრისას</w:t>
      </w:r>
      <w:r w:rsidR="00301576">
        <w:rPr>
          <w:rFonts w:ascii="Sylfaen" w:hAnsi="Sylfaen"/>
          <w:lang w:val="ka-GE"/>
        </w:rPr>
        <w:t xml:space="preserve"> (</w:t>
      </w:r>
      <w:r w:rsidR="00A20F4A">
        <w:rPr>
          <w:rFonts w:ascii="Sylfaen" w:hAnsi="Sylfaen"/>
          <w:lang w:val="ka-GE"/>
        </w:rPr>
        <w:t xml:space="preserve">მაგ. </w:t>
      </w:r>
      <w:r w:rsidR="00301576" w:rsidRPr="009D0AA4">
        <w:rPr>
          <w:rFonts w:ascii="Sylfaen" w:hAnsi="Sylfaen"/>
          <w:lang w:val="ka-GE"/>
        </w:rPr>
        <w:t>BRCA1</w:t>
      </w:r>
      <w:r w:rsidR="00A20F4A">
        <w:rPr>
          <w:rFonts w:ascii="Sylfaen" w:hAnsi="Sylfaen"/>
          <w:lang w:val="ka-GE"/>
        </w:rPr>
        <w:t xml:space="preserve">), </w:t>
      </w:r>
      <w:r w:rsidR="00301576">
        <w:rPr>
          <w:rFonts w:ascii="Sylfaen" w:hAnsi="Sylfaen"/>
          <w:lang w:val="ka-GE"/>
        </w:rPr>
        <w:t xml:space="preserve">ანუ ორივე ანალიზის </w:t>
      </w:r>
      <w:r w:rsidR="00A20F4A">
        <w:rPr>
          <w:rFonts w:ascii="Sylfaen" w:hAnsi="Sylfaen"/>
          <w:lang w:val="ka-GE"/>
        </w:rPr>
        <w:t>შემთხვევაში</w:t>
      </w:r>
      <w:r w:rsidR="00301576">
        <w:rPr>
          <w:rFonts w:ascii="Sylfaen" w:hAnsi="Sylfaen"/>
          <w:lang w:val="ka-GE"/>
        </w:rPr>
        <w:t xml:space="preserve"> 500</w:t>
      </w:r>
      <w:r w:rsidR="00A20F4A">
        <w:rPr>
          <w:rFonts w:ascii="Sylfaen" w:hAnsi="Sylfaen"/>
          <w:lang w:val="ka-GE"/>
        </w:rPr>
        <w:t xml:space="preserve"> – </w:t>
      </w:r>
      <w:r w:rsidR="00301576">
        <w:rPr>
          <w:rFonts w:ascii="Sylfaen" w:hAnsi="Sylfaen"/>
          <w:lang w:val="ka-GE"/>
        </w:rPr>
        <w:t xml:space="preserve">600 ლარი. </w:t>
      </w:r>
    </w:p>
    <w:p w:rsidR="008E7D57" w:rsidRDefault="008E7D57" w:rsidP="008E7D57">
      <w:pPr>
        <w:jc w:val="both"/>
        <w:rPr>
          <w:rFonts w:ascii="Sylfaen" w:hAnsi="Sylfaen"/>
          <w:b/>
          <w:sz w:val="28"/>
          <w:lang w:val="ka-GE"/>
        </w:rPr>
      </w:pPr>
      <w:r>
        <w:rPr>
          <w:rFonts w:ascii="Sylfaen" w:hAnsi="Sylfaen"/>
          <w:b/>
          <w:sz w:val="28"/>
          <w:lang w:val="ka-GE"/>
        </w:rPr>
        <w:t>სარგებელი</w:t>
      </w:r>
      <w:r w:rsidR="00C055CE">
        <w:rPr>
          <w:rFonts w:ascii="Sylfaen" w:hAnsi="Sylfaen"/>
          <w:b/>
          <w:sz w:val="28"/>
          <w:lang w:val="ka-GE"/>
        </w:rPr>
        <w:t>:</w:t>
      </w:r>
    </w:p>
    <w:p w:rsidR="00C055CE" w:rsidRDefault="00C055CE" w:rsidP="00C055CE">
      <w:pPr>
        <w:pStyle w:val="ListParagraph"/>
        <w:numPr>
          <w:ilvl w:val="0"/>
          <w:numId w:val="7"/>
        </w:numPr>
        <w:jc w:val="both"/>
        <w:rPr>
          <w:rFonts w:ascii="Sylfaen" w:hAnsi="Sylfaen"/>
          <w:lang w:val="ka-GE"/>
        </w:rPr>
      </w:pPr>
      <w:r>
        <w:rPr>
          <w:rFonts w:ascii="Sylfaen" w:hAnsi="Sylfaen"/>
          <w:lang w:val="ka-GE"/>
        </w:rPr>
        <w:t>საქართველოს სამიზნე პოპულაციაში საკვერცხისა და ძუძუს ავთვისებიანი სიმსივნის განვითრების რისკის შემცირება</w:t>
      </w:r>
    </w:p>
    <w:p w:rsidR="00C055CE" w:rsidRDefault="00C055CE" w:rsidP="00C055CE">
      <w:pPr>
        <w:pStyle w:val="ListParagraph"/>
        <w:numPr>
          <w:ilvl w:val="0"/>
          <w:numId w:val="7"/>
        </w:numPr>
        <w:jc w:val="both"/>
        <w:rPr>
          <w:rFonts w:ascii="Sylfaen" w:hAnsi="Sylfaen"/>
          <w:lang w:val="ka-GE"/>
        </w:rPr>
      </w:pPr>
      <w:r>
        <w:rPr>
          <w:rFonts w:ascii="Sylfaen" w:hAnsi="Sylfaen"/>
          <w:lang w:val="ka-GE"/>
        </w:rPr>
        <w:t>აღნიშნული სიმსივნეების ადრეული დიაგნოსტიკა და მკურნალობის სწორი ტაქტიკის დაგეგმვა, რაც შესაბამისად გააუმჯობესებს გამოსავალს და შეამცირებს სიკვდილიანობას</w:t>
      </w:r>
    </w:p>
    <w:p w:rsidR="00C055CE" w:rsidRDefault="00C055CE" w:rsidP="00C055CE">
      <w:pPr>
        <w:pStyle w:val="ListParagraph"/>
        <w:numPr>
          <w:ilvl w:val="0"/>
          <w:numId w:val="7"/>
        </w:numPr>
        <w:jc w:val="both"/>
        <w:rPr>
          <w:rFonts w:ascii="Sylfaen" w:hAnsi="Sylfaen"/>
          <w:lang w:val="ka-GE"/>
        </w:rPr>
      </w:pPr>
      <w:r>
        <w:rPr>
          <w:rFonts w:ascii="Sylfaen" w:hAnsi="Sylfaen"/>
          <w:lang w:val="ka-GE"/>
        </w:rPr>
        <w:t>სახელმწიფო თანხების დაზოგვა</w:t>
      </w:r>
      <w:r w:rsidR="00A20F4A">
        <w:rPr>
          <w:rFonts w:ascii="Sylfaen" w:hAnsi="Sylfaen"/>
          <w:lang w:val="ka-GE"/>
        </w:rPr>
        <w:t xml:space="preserve">: ამჟამად სახელმწიფოს მიერ გამოყოფილი თანხა 1 პაციენტზე შეადგენს მინ. 1625 – 1965ლარამდე, რაც არ მოიცავს დამატებით თვითმართველი ორგანოებიდან გამოყოფილ თანხებს და ასევე არ მოიცავს განმეორებითი მკურნალობის თანხებს. </w:t>
      </w:r>
      <w:bookmarkStart w:id="0" w:name="_GoBack"/>
      <w:r w:rsidR="00A20F4A">
        <w:rPr>
          <w:rFonts w:ascii="Sylfaen" w:hAnsi="Sylfaen"/>
          <w:lang w:val="ka-GE"/>
        </w:rPr>
        <w:t xml:space="preserve">პროექტის მიხედვით შესაძლებელი გახდება </w:t>
      </w:r>
      <w:r w:rsidR="00A20F4A">
        <w:rPr>
          <w:rFonts w:ascii="Sylfaen" w:hAnsi="Sylfaen"/>
        </w:rPr>
        <w:t xml:space="preserve">BRCA </w:t>
      </w:r>
      <w:r w:rsidR="00A20F4A">
        <w:rPr>
          <w:rFonts w:ascii="Sylfaen" w:hAnsi="Sylfaen"/>
          <w:lang w:val="ka-GE"/>
        </w:rPr>
        <w:t>მუტაციის ადრეული აღმოჩენა, რისკ ჯგუფების განსაზღვრა, საკვერცხის კიბოს ადრეული დიაგნოსტიკა და შესაბამისი ქირურგიული მკურნალობის დაგეგმვა. დანახარჯი ამ შემთხვევაში</w:t>
      </w:r>
      <w:r w:rsidR="005302BF">
        <w:rPr>
          <w:rFonts w:ascii="Sylfaen" w:hAnsi="Sylfaen"/>
          <w:lang w:val="ka-GE"/>
        </w:rPr>
        <w:t xml:space="preserve"> შეიძლება მერყეობს 500-</w:t>
      </w:r>
      <w:r w:rsidR="00A20F4A">
        <w:rPr>
          <w:rFonts w:ascii="Sylfaen" w:hAnsi="Sylfaen"/>
          <w:lang w:val="ka-GE"/>
        </w:rPr>
        <w:t>600ლარამდე, რასაც დაემატება ქირურგიული მკურნალობის თანხა. პროექტის ფარგლებში ასევე მოხდება იმ დამატებითი ხარჯების თავიდან აცილება, რომელიც დაკავშირებულია განმეორებით მკურნალობასთან (რეციდივის შემთხვევაში).</w:t>
      </w:r>
    </w:p>
    <w:bookmarkEnd w:id="0"/>
    <w:p w:rsidR="00C055CE" w:rsidRDefault="00C055CE" w:rsidP="00C055CE">
      <w:pPr>
        <w:pStyle w:val="ListParagraph"/>
        <w:numPr>
          <w:ilvl w:val="0"/>
          <w:numId w:val="7"/>
        </w:numPr>
        <w:jc w:val="both"/>
        <w:rPr>
          <w:rFonts w:ascii="Sylfaen" w:hAnsi="Sylfaen"/>
          <w:lang w:val="ka-GE"/>
        </w:rPr>
      </w:pPr>
      <w:r>
        <w:rPr>
          <w:rFonts w:ascii="Sylfaen" w:hAnsi="Sylfaen"/>
          <w:lang w:val="ka-GE"/>
        </w:rPr>
        <w:t xml:space="preserve">საზოგადოებაში და სამედიცინო პერსონალში </w:t>
      </w:r>
      <w:r w:rsidR="00BC4F5A">
        <w:rPr>
          <w:rFonts w:ascii="Sylfaen" w:hAnsi="Sylfaen"/>
          <w:lang w:val="ka-GE"/>
        </w:rPr>
        <w:t>ცნობიერებ</w:t>
      </w:r>
      <w:r>
        <w:rPr>
          <w:rFonts w:ascii="Sylfaen" w:hAnsi="Sylfaen"/>
          <w:lang w:val="ka-GE"/>
        </w:rPr>
        <w:t>ი</w:t>
      </w:r>
      <w:r w:rsidR="00BC4F5A">
        <w:rPr>
          <w:rFonts w:ascii="Sylfaen" w:hAnsi="Sylfaen"/>
          <w:lang w:val="ka-GE"/>
        </w:rPr>
        <w:t>ს</w:t>
      </w:r>
      <w:r>
        <w:rPr>
          <w:rFonts w:ascii="Sylfaen" w:hAnsi="Sylfaen"/>
          <w:lang w:val="ka-GE"/>
        </w:rPr>
        <w:t xml:space="preserve"> გაზრდა და მეტი ინფორმირებულობა აღნიშნულ საკითხთან დაკავშირებით.</w:t>
      </w:r>
    </w:p>
    <w:p w:rsidR="00B80857" w:rsidRPr="00BC4F5A" w:rsidRDefault="00BC4F5A" w:rsidP="00BC4F5A">
      <w:pPr>
        <w:pStyle w:val="ListParagraph"/>
        <w:numPr>
          <w:ilvl w:val="0"/>
          <w:numId w:val="7"/>
        </w:numPr>
        <w:jc w:val="both"/>
        <w:rPr>
          <w:rFonts w:ascii="Sylfaen" w:hAnsi="Sylfaen"/>
          <w:lang w:val="ka-GE"/>
        </w:rPr>
      </w:pPr>
      <w:r>
        <w:rPr>
          <w:rFonts w:ascii="Sylfaen" w:hAnsi="Sylfaen"/>
          <w:lang w:val="ka-GE"/>
        </w:rPr>
        <w:t>პროექტის დაფინანსება შესაძლებელია განიხილოს საყოველთაო ჯანდაცვის პროგრამის მაგალითზე: სახელმწიფოს მიერ გამოიყოს თანხის 70%, როგორც კონკრეტული ნოზოლოგიებისას/შესაბამისი სამედიცინო ჩარევისთვის, ხოლო დარჩენილი თანხა დაიფაროს თანაგადახდით.</w:t>
      </w:r>
    </w:p>
    <w:p w:rsidR="008E7D57" w:rsidRPr="009C1173" w:rsidRDefault="008E7D57" w:rsidP="008E7D57">
      <w:pPr>
        <w:jc w:val="both"/>
        <w:rPr>
          <w:rFonts w:ascii="Sylfaen" w:hAnsi="Sylfaen"/>
          <w:b/>
          <w:sz w:val="28"/>
          <w:lang w:val="ka-GE"/>
        </w:rPr>
      </w:pPr>
      <w:r>
        <w:rPr>
          <w:rFonts w:ascii="Sylfaen" w:hAnsi="Sylfaen"/>
          <w:b/>
          <w:sz w:val="28"/>
          <w:lang w:val="ka-GE"/>
        </w:rPr>
        <w:t>შესაძლო შემაფერხებელი ფაქტორები</w:t>
      </w:r>
    </w:p>
    <w:p w:rsidR="009C1173" w:rsidRPr="009C1173" w:rsidRDefault="00330C4E" w:rsidP="009C1173">
      <w:pPr>
        <w:pStyle w:val="ListParagraph"/>
        <w:numPr>
          <w:ilvl w:val="0"/>
          <w:numId w:val="8"/>
        </w:numPr>
        <w:jc w:val="both"/>
        <w:rPr>
          <w:rFonts w:ascii="Sylfaen" w:hAnsi="Sylfaen"/>
          <w:sz w:val="24"/>
          <w:lang w:val="ka-GE"/>
        </w:rPr>
      </w:pPr>
      <w:r>
        <w:rPr>
          <w:rFonts w:ascii="Sylfaen" w:hAnsi="Sylfaen"/>
          <w:sz w:val="24"/>
          <w:lang w:val="ka-GE"/>
        </w:rPr>
        <w:t xml:space="preserve">პროექტის საწყისი ეტაპისთვის </w:t>
      </w:r>
      <w:r w:rsidR="009C1173" w:rsidRPr="009C1173">
        <w:rPr>
          <w:rFonts w:ascii="Sylfaen" w:hAnsi="Sylfaen"/>
          <w:sz w:val="24"/>
          <w:lang w:val="ka-GE"/>
        </w:rPr>
        <w:t>ექიმების</w:t>
      </w:r>
      <w:r>
        <w:rPr>
          <w:rFonts w:ascii="Sylfaen" w:hAnsi="Sylfaen"/>
          <w:sz w:val="24"/>
          <w:lang w:val="ka-GE"/>
        </w:rPr>
        <w:t>ა და პაციენტების</w:t>
      </w:r>
      <w:r w:rsidR="009C1173" w:rsidRPr="009C1173">
        <w:rPr>
          <w:rFonts w:ascii="Sylfaen" w:hAnsi="Sylfaen"/>
          <w:sz w:val="24"/>
          <w:lang w:val="ka-GE"/>
        </w:rPr>
        <w:t xml:space="preserve"> მზაობა</w:t>
      </w:r>
    </w:p>
    <w:p w:rsidR="009C1173" w:rsidRPr="009C1173" w:rsidRDefault="00133D5E" w:rsidP="009C1173">
      <w:pPr>
        <w:pStyle w:val="ListParagraph"/>
        <w:numPr>
          <w:ilvl w:val="0"/>
          <w:numId w:val="8"/>
        </w:numPr>
        <w:jc w:val="both"/>
        <w:rPr>
          <w:rFonts w:ascii="Sylfaen" w:hAnsi="Sylfaen"/>
          <w:sz w:val="24"/>
          <w:lang w:val="ka-GE"/>
        </w:rPr>
      </w:pPr>
      <w:r>
        <w:rPr>
          <w:rFonts w:ascii="Sylfaen" w:hAnsi="Sylfaen"/>
          <w:sz w:val="24"/>
          <w:lang w:val="ka-GE"/>
        </w:rPr>
        <w:t xml:space="preserve">პროექტის ფარგლებში </w:t>
      </w:r>
      <w:r w:rsidR="009C1173" w:rsidRPr="009C1173">
        <w:rPr>
          <w:rFonts w:ascii="Sylfaen" w:hAnsi="Sylfaen"/>
          <w:sz w:val="24"/>
          <w:lang w:val="ka-GE"/>
        </w:rPr>
        <w:t xml:space="preserve">შვილოსნობის ასაკის კონტროლი </w:t>
      </w:r>
    </w:p>
    <w:p w:rsidR="00330C4E" w:rsidRDefault="009C1173" w:rsidP="009C1173">
      <w:pPr>
        <w:pStyle w:val="ListParagraph"/>
        <w:numPr>
          <w:ilvl w:val="0"/>
          <w:numId w:val="8"/>
        </w:numPr>
        <w:jc w:val="both"/>
        <w:rPr>
          <w:rFonts w:ascii="Sylfaen" w:hAnsi="Sylfaen"/>
          <w:sz w:val="24"/>
          <w:lang w:val="ka-GE"/>
        </w:rPr>
      </w:pPr>
      <w:r w:rsidRPr="00330C4E">
        <w:rPr>
          <w:rFonts w:ascii="Sylfaen" w:hAnsi="Sylfaen"/>
          <w:sz w:val="24"/>
          <w:lang w:val="ka-GE"/>
        </w:rPr>
        <w:t>პაციენტის გადაწყვეტილების გათვალისწინება</w:t>
      </w:r>
    </w:p>
    <w:p w:rsidR="009C1173" w:rsidRPr="00330C4E" w:rsidRDefault="00330C4E" w:rsidP="009C1173">
      <w:pPr>
        <w:pStyle w:val="ListParagraph"/>
        <w:numPr>
          <w:ilvl w:val="0"/>
          <w:numId w:val="8"/>
        </w:numPr>
        <w:jc w:val="both"/>
        <w:rPr>
          <w:rFonts w:ascii="Sylfaen" w:hAnsi="Sylfaen"/>
          <w:sz w:val="24"/>
          <w:lang w:val="ka-GE"/>
        </w:rPr>
      </w:pPr>
      <w:r w:rsidRPr="00330C4E">
        <w:rPr>
          <w:rFonts w:ascii="Sylfaen" w:hAnsi="Sylfaen"/>
          <w:sz w:val="24"/>
          <w:lang w:val="ka-GE"/>
        </w:rPr>
        <w:t xml:space="preserve">პროექტის </w:t>
      </w:r>
      <w:r w:rsidR="009C1173" w:rsidRPr="00330C4E">
        <w:rPr>
          <w:rFonts w:ascii="Sylfaen" w:hAnsi="Sylfaen"/>
          <w:sz w:val="24"/>
          <w:lang w:val="ka-GE"/>
        </w:rPr>
        <w:t>შიდა კონტროლი</w:t>
      </w:r>
      <w:r w:rsidRPr="00330C4E">
        <w:rPr>
          <w:rFonts w:ascii="Sylfaen" w:hAnsi="Sylfaen"/>
          <w:sz w:val="24"/>
          <w:lang w:val="ka-GE"/>
        </w:rPr>
        <w:t xml:space="preserve"> და თვითშეფასება</w:t>
      </w:r>
      <w:r w:rsidR="009C1173" w:rsidRPr="00330C4E">
        <w:rPr>
          <w:rFonts w:ascii="Sylfaen" w:hAnsi="Sylfaen"/>
          <w:sz w:val="24"/>
          <w:lang w:val="ka-GE"/>
        </w:rPr>
        <w:t>: ჩატარებული ქირურგიული ჩარევების სიხშირე</w:t>
      </w:r>
      <w:r>
        <w:rPr>
          <w:rFonts w:ascii="Sylfaen" w:hAnsi="Sylfaen"/>
          <w:sz w:val="24"/>
          <w:lang w:val="ka-GE"/>
        </w:rPr>
        <w:t xml:space="preserve">, მათი </w:t>
      </w:r>
      <w:r w:rsidR="009C1173" w:rsidRPr="00330C4E">
        <w:rPr>
          <w:rFonts w:ascii="Sylfaen" w:hAnsi="Sylfaen"/>
          <w:sz w:val="24"/>
          <w:lang w:val="ka-GE"/>
        </w:rPr>
        <w:t>შესაბამისობა გენეტიკურ</w:t>
      </w:r>
      <w:r>
        <w:rPr>
          <w:rFonts w:ascii="Sylfaen" w:hAnsi="Sylfaen"/>
          <w:sz w:val="24"/>
          <w:lang w:val="ka-GE"/>
        </w:rPr>
        <w:t>ი</w:t>
      </w:r>
      <w:r w:rsidR="009C1173" w:rsidRPr="00330C4E">
        <w:rPr>
          <w:rFonts w:ascii="Sylfaen" w:hAnsi="Sylfaen"/>
          <w:sz w:val="24"/>
          <w:lang w:val="ka-GE"/>
        </w:rPr>
        <w:t xml:space="preserve"> ტესტის შედეგთან და ოჯახურ </w:t>
      </w:r>
      <w:r>
        <w:rPr>
          <w:rFonts w:ascii="Sylfaen" w:hAnsi="Sylfaen"/>
          <w:sz w:val="24"/>
          <w:lang w:val="ka-GE"/>
        </w:rPr>
        <w:t>ანამნეზთან</w:t>
      </w:r>
    </w:p>
    <w:p w:rsidR="009C1173" w:rsidRPr="00330C4E" w:rsidRDefault="009C1173" w:rsidP="00330C4E">
      <w:pPr>
        <w:pStyle w:val="ListParagraph"/>
        <w:numPr>
          <w:ilvl w:val="0"/>
          <w:numId w:val="8"/>
        </w:numPr>
        <w:jc w:val="both"/>
        <w:rPr>
          <w:rFonts w:ascii="Sylfaen" w:hAnsi="Sylfaen"/>
          <w:sz w:val="24"/>
          <w:lang w:val="ka-GE"/>
        </w:rPr>
      </w:pPr>
      <w:r w:rsidRPr="00330C4E">
        <w:rPr>
          <w:rFonts w:ascii="Sylfaen" w:hAnsi="Sylfaen"/>
          <w:sz w:val="24"/>
          <w:lang w:val="ka-GE"/>
        </w:rPr>
        <w:t xml:space="preserve">პოსტ-ოპერაციული რეკომენდაციების გაწერა </w:t>
      </w:r>
    </w:p>
    <w:p w:rsidR="00330C4E" w:rsidRDefault="00330C4E" w:rsidP="008E7D57">
      <w:pPr>
        <w:jc w:val="both"/>
        <w:rPr>
          <w:rFonts w:ascii="Sylfaen" w:hAnsi="Sylfaen"/>
          <w:b/>
          <w:sz w:val="28"/>
          <w:lang w:val="ka-GE"/>
        </w:rPr>
      </w:pPr>
    </w:p>
    <w:p w:rsidR="001113B1" w:rsidRDefault="001113B1" w:rsidP="008E7D57">
      <w:pPr>
        <w:jc w:val="both"/>
        <w:rPr>
          <w:rFonts w:ascii="Sylfaen" w:hAnsi="Sylfaen"/>
          <w:b/>
          <w:sz w:val="28"/>
          <w:lang w:val="ka-GE"/>
        </w:rPr>
      </w:pPr>
      <w:r>
        <w:rPr>
          <w:rFonts w:ascii="Sylfaen" w:hAnsi="Sylfaen"/>
          <w:b/>
          <w:sz w:val="28"/>
          <w:lang w:val="ka-GE"/>
        </w:rPr>
        <w:lastRenderedPageBreak/>
        <w:t>სამომავლო გეგმები:</w:t>
      </w:r>
    </w:p>
    <w:p w:rsidR="00330C4E" w:rsidRDefault="00330C4E" w:rsidP="00330C4E">
      <w:pPr>
        <w:jc w:val="both"/>
        <w:rPr>
          <w:rFonts w:ascii="Sylfaen" w:hAnsi="Sylfaen"/>
          <w:lang w:val="ka-GE"/>
        </w:rPr>
      </w:pPr>
      <w:r>
        <w:rPr>
          <w:rFonts w:ascii="Sylfaen" w:hAnsi="Sylfaen"/>
          <w:lang w:val="ka-GE"/>
        </w:rPr>
        <w:t xml:space="preserve">ენდომეტრიული სიმსივნეები (საშვილოსნოს ტანის სიმსივნეები) არის ყველაზე ხშირი სიმსივნე განვითარებული ქვეყნების ქალებში და მეორე ადგილას არის სიხშირით განვითარებად ქვეყნებში. საქართველოს კიბოს რეგისტირს მიხედვით N4 სიმსივნეა ქალებში და მსგავსად ძუძუ და საკვერცხის კიბოსი ასევე დაკავშირებულია კონკრეტულ მუტაციებთან. </w:t>
      </w:r>
    </w:p>
    <w:p w:rsidR="00644D9F" w:rsidRPr="0037588F" w:rsidRDefault="00330C4E" w:rsidP="008E7D57">
      <w:pPr>
        <w:jc w:val="both"/>
        <w:rPr>
          <w:rFonts w:ascii="Sylfaen" w:hAnsi="Sylfaen"/>
          <w:lang w:val="ka-GE"/>
        </w:rPr>
      </w:pPr>
      <w:r>
        <w:rPr>
          <w:rFonts w:ascii="Sylfaen" w:hAnsi="Sylfaen"/>
          <w:lang w:val="ka-GE"/>
        </w:rPr>
        <w:t>ლინჩის სინდრომი (</w:t>
      </w:r>
      <w:r w:rsidRPr="00BF5369">
        <w:rPr>
          <w:rFonts w:ascii="Sylfaen" w:hAnsi="Sylfaen"/>
          <w:lang w:val="ka-GE"/>
        </w:rPr>
        <w:t>Lynch syndrome</w:t>
      </w:r>
      <w:r>
        <w:rPr>
          <w:rFonts w:ascii="Sylfaen" w:hAnsi="Sylfaen"/>
          <w:lang w:val="ka-GE"/>
        </w:rPr>
        <w:t xml:space="preserve"> მანამდე ცნობილი როგორც მემკვიდრებითი არა-პოლიპოზური კოლორექტული სიმსივნეები) არის აუტოსომურ-დომინანტური (შთამომავლობის 75% დაავადება გამოუვლინდება)  დამემკვიდრების სიმსივნეები, რომელიც გამოწვეულია დნმ-ის დეფექტით. მისი პრევალენტობა მერყეობს 1 ყოველ 600 ადამიანში - 1 ყოველ 3000ადამიანში. ლინჩის სინდრომის მქონე პოპულაციაში გაზრდილი კონკრეტული სიმსივნეები</w:t>
      </w:r>
      <w:r w:rsidR="00DC0249">
        <w:rPr>
          <w:rFonts w:ascii="Sylfaen" w:hAnsi="Sylfaen"/>
          <w:lang w:val="ka-GE"/>
        </w:rPr>
        <w:t>ს</w:t>
      </w:r>
      <w:r>
        <w:rPr>
          <w:rFonts w:ascii="Sylfaen" w:hAnsi="Sylfaen"/>
          <w:lang w:val="ka-GE"/>
        </w:rPr>
        <w:t xml:space="preserve"> განვითარების რისკი: კოლორექტული, ენდომეტრიული და საკვერცხის კიბო. შესაბამისად, ლინჩს სინდრომის მქონე ქალებში, 70წლამდე კოლორექტული სიმსივნეების განვითარების რისკი არის 18-61%, შედარებით ზოგად პოპულაციასთან - 1,7%. ენდომეტრიუმის სიმსივნეების განვითრების რისკი, ლინჩის სინდრომის მქონე ქალებში, 70წლამდე არის 16-61% და შესაძლოა მეტი იყოს კოლორექტულზეც; ხოლო საკვერცხის სიმსივნის რისკი ლინჩის სინდრომის დროს 5-10% არის, შედარებით ზოგად პოპულაციასთან 1%, 39-46% </w:t>
      </w:r>
      <w:r w:rsidRPr="001B6BFB">
        <w:rPr>
          <w:rFonts w:ascii="Sylfaen" w:hAnsi="Sylfaen"/>
          <w:lang w:val="ka-GE"/>
        </w:rPr>
        <w:t>BRCA1</w:t>
      </w:r>
      <w:r>
        <w:rPr>
          <w:rFonts w:ascii="Sylfaen" w:hAnsi="Sylfaen"/>
          <w:lang w:val="ka-GE"/>
        </w:rPr>
        <w:t xml:space="preserve"> მუტაციის მქონე ქალებში და 12-20%</w:t>
      </w:r>
      <w:r w:rsidRPr="001B6BFB">
        <w:rPr>
          <w:rFonts w:ascii="Sylfaen" w:hAnsi="Sylfaen"/>
          <w:lang w:val="ka-GE"/>
        </w:rPr>
        <w:t xml:space="preserve"> BRCA 2</w:t>
      </w:r>
      <w:r>
        <w:rPr>
          <w:rFonts w:ascii="Sylfaen" w:hAnsi="Sylfaen"/>
          <w:lang w:val="ka-GE"/>
        </w:rPr>
        <w:t xml:space="preserve"> მუტაციით ქალებში. ყველაზე ხშირად ლინჩის სინდრომი დაკავშირებულია შემდეგი გენების მუტაციასთან: </w:t>
      </w:r>
      <w:r w:rsidRPr="00BF5369">
        <w:rPr>
          <w:rFonts w:ascii="Sylfaen" w:hAnsi="Sylfaen"/>
          <w:lang w:val="ka-GE"/>
        </w:rPr>
        <w:t>MLH2, MSH6, PMS2, EPCAM</w:t>
      </w:r>
      <w:r>
        <w:rPr>
          <w:rFonts w:ascii="Sylfaen" w:hAnsi="Sylfaen"/>
          <w:lang w:val="ka-GE"/>
        </w:rPr>
        <w:t>.</w:t>
      </w:r>
      <w:sdt>
        <w:sdtPr>
          <w:rPr>
            <w:rFonts w:ascii="Sylfaen" w:hAnsi="Sylfaen"/>
            <w:lang w:val="ka-GE"/>
          </w:rPr>
          <w:id w:val="1363855"/>
          <w:citation/>
        </w:sdtPr>
        <w:sdtEndPr/>
        <w:sdtContent>
          <w:r w:rsidR="007B0ED7">
            <w:rPr>
              <w:rFonts w:ascii="Sylfaen" w:hAnsi="Sylfaen"/>
              <w:lang w:val="ka-GE"/>
            </w:rPr>
            <w:fldChar w:fldCharType="begin"/>
          </w:r>
          <w:r w:rsidRPr="00E7130A">
            <w:rPr>
              <w:rFonts w:ascii="Sylfaen" w:hAnsi="Sylfaen"/>
              <w:lang w:val="ka-GE"/>
            </w:rPr>
            <w:instrText xml:space="preserve"> CITATION The14 \l 1033 </w:instrText>
          </w:r>
          <w:r w:rsidR="007B0ED7">
            <w:rPr>
              <w:rFonts w:ascii="Sylfaen" w:hAnsi="Sylfaen"/>
              <w:lang w:val="ka-GE"/>
            </w:rPr>
            <w:fldChar w:fldCharType="separate"/>
          </w:r>
          <w:r w:rsidR="002F0AF2">
            <w:rPr>
              <w:rFonts w:ascii="Sylfaen" w:hAnsi="Sylfaen"/>
              <w:noProof/>
              <w:lang w:val="ka-GE"/>
            </w:rPr>
            <w:t xml:space="preserve"> </w:t>
          </w:r>
          <w:r w:rsidR="002F0AF2" w:rsidRPr="002F0AF2">
            <w:rPr>
              <w:rFonts w:ascii="Sylfaen" w:hAnsi="Sylfaen"/>
              <w:noProof/>
              <w:lang w:val="ka-GE"/>
            </w:rPr>
            <w:t>(The American College of Obstetricians and Gynecologist, 2014)</w:t>
          </w:r>
          <w:r w:rsidR="007B0ED7">
            <w:rPr>
              <w:rFonts w:ascii="Sylfaen" w:hAnsi="Sylfaen"/>
              <w:lang w:val="ka-GE"/>
            </w:rPr>
            <w:fldChar w:fldCharType="end"/>
          </w:r>
        </w:sdtContent>
      </w:sdt>
      <w:r>
        <w:rPr>
          <w:rFonts w:ascii="Sylfaen" w:hAnsi="Sylfaen"/>
          <w:lang w:val="ka-GE"/>
        </w:rPr>
        <w:t>.</w:t>
      </w:r>
      <w:r w:rsidR="0037588F">
        <w:rPr>
          <w:rFonts w:ascii="Sylfaen" w:hAnsi="Sylfaen"/>
          <w:lang w:val="ka-GE"/>
        </w:rPr>
        <w:t xml:space="preserve"> 2014 წლიდან</w:t>
      </w:r>
      <w:r w:rsidR="0037588F" w:rsidRPr="008F7B65">
        <w:rPr>
          <w:rFonts w:ascii="Sylfaen" w:hAnsi="Sylfaen"/>
          <w:lang w:val="ka-GE"/>
        </w:rPr>
        <w:t xml:space="preserve">, </w:t>
      </w:r>
      <w:r w:rsidR="0037588F">
        <w:rPr>
          <w:rFonts w:ascii="Sylfaen" w:hAnsi="Sylfaen"/>
          <w:lang w:val="ka-GE"/>
        </w:rPr>
        <w:t>ონკოლოგ</w:t>
      </w:r>
      <w:r w:rsidR="0037588F" w:rsidRPr="008F7B65">
        <w:rPr>
          <w:rFonts w:ascii="Sylfaen" w:hAnsi="Sylfaen"/>
          <w:lang w:val="ka-GE"/>
        </w:rPr>
        <w:t>-</w:t>
      </w:r>
      <w:r w:rsidR="0037588F">
        <w:rPr>
          <w:rFonts w:ascii="Sylfaen" w:hAnsi="Sylfaen"/>
          <w:lang w:val="ka-GE"/>
        </w:rPr>
        <w:t>გინეკოლოგთან საზოგადოებამ (</w:t>
      </w:r>
      <w:r w:rsidR="0037588F" w:rsidRPr="008F7B65">
        <w:rPr>
          <w:rFonts w:ascii="Sylfaen" w:hAnsi="Sylfaen"/>
          <w:lang w:val="ka-GE"/>
        </w:rPr>
        <w:t>Society for Gynecologic Oncology)</w:t>
      </w:r>
      <w:r w:rsidR="0037588F">
        <w:rPr>
          <w:rFonts w:ascii="Sylfaen" w:hAnsi="Sylfaen"/>
          <w:lang w:val="ka-GE"/>
        </w:rPr>
        <w:t xml:space="preserve"> გამოსცა კლინიკური რეკომენდაციები, რაც გულისხმობს ლინჩის სინდრომის სისტემურ სკრინინგს ყველა ახლად-დიაგნოსტირებული ენდომეტრიული სიმსივნეების დროს. </w:t>
      </w:r>
    </w:p>
    <w:p w:rsidR="0037588F" w:rsidRDefault="0037588F" w:rsidP="0037588F">
      <w:pPr>
        <w:pStyle w:val="ListParagraph"/>
        <w:numPr>
          <w:ilvl w:val="0"/>
          <w:numId w:val="9"/>
        </w:numPr>
        <w:jc w:val="both"/>
        <w:rPr>
          <w:rFonts w:ascii="Sylfaen" w:hAnsi="Sylfaen"/>
          <w:lang w:val="ka-GE"/>
        </w:rPr>
      </w:pPr>
      <w:r>
        <w:rPr>
          <w:rFonts w:ascii="Sylfaen" w:hAnsi="Sylfaen"/>
          <w:lang w:val="ka-GE"/>
        </w:rPr>
        <w:t>ოჯახური ანამნეზისა და კლინიკური სკრინინგის მიხედვით, ლინჩის სინდრომის მაღალი რისკის მქონე პაციენტებზე ნებისმიერი ენდომეტრიალური ან კოლორექტული სიმსივნეების გენეტიკური ანალიზი.</w:t>
      </w:r>
    </w:p>
    <w:p w:rsidR="00401965" w:rsidRDefault="00401965" w:rsidP="00401965">
      <w:pPr>
        <w:jc w:val="both"/>
        <w:rPr>
          <w:rFonts w:ascii="Sylfaen" w:hAnsi="Sylfaen"/>
          <w:lang w:val="ka-GE"/>
        </w:rPr>
      </w:pPr>
    </w:p>
    <w:p w:rsidR="00401965" w:rsidRDefault="00401965" w:rsidP="00401965">
      <w:pPr>
        <w:jc w:val="both"/>
        <w:rPr>
          <w:rFonts w:ascii="Sylfaen" w:hAnsi="Sylfaen"/>
          <w:lang w:val="ka-GE"/>
        </w:rPr>
      </w:pPr>
    </w:p>
    <w:p w:rsidR="00401965" w:rsidRDefault="00401965" w:rsidP="00401965">
      <w:pPr>
        <w:jc w:val="both"/>
        <w:rPr>
          <w:rFonts w:ascii="Sylfaen" w:hAnsi="Sylfaen"/>
          <w:lang w:val="ka-GE"/>
        </w:rPr>
      </w:pPr>
    </w:p>
    <w:p w:rsidR="00401965" w:rsidRPr="00401965" w:rsidRDefault="00401965" w:rsidP="00401965">
      <w:pPr>
        <w:jc w:val="both"/>
        <w:rPr>
          <w:rFonts w:ascii="Sylfaen" w:hAnsi="Sylfaen"/>
          <w:lang w:val="ka-GE"/>
        </w:rPr>
      </w:pPr>
    </w:p>
    <w:sdt>
      <w:sdtPr>
        <w:rPr>
          <w:rFonts w:asciiTheme="minorHAnsi" w:eastAsiaTheme="minorEastAsia" w:hAnsiTheme="minorHAnsi" w:cstheme="minorBidi"/>
          <w:b w:val="0"/>
          <w:bCs w:val="0"/>
          <w:color w:val="auto"/>
          <w:sz w:val="22"/>
          <w:szCs w:val="22"/>
          <w:lang w:bidi="ar-SA"/>
        </w:rPr>
        <w:id w:val="2628605"/>
        <w:docPartObj>
          <w:docPartGallery w:val="Bibliographies"/>
          <w:docPartUnique/>
        </w:docPartObj>
      </w:sdtPr>
      <w:sdtEndPr/>
      <w:sdtContent>
        <w:p w:rsidR="00644D9F" w:rsidRPr="00F81606" w:rsidRDefault="00644D9F">
          <w:pPr>
            <w:pStyle w:val="Heading1"/>
            <w:rPr>
              <w:lang w:val="ka-GE"/>
            </w:rPr>
          </w:pPr>
          <w:r w:rsidRPr="00F81606">
            <w:rPr>
              <w:lang w:val="ka-GE"/>
            </w:rPr>
            <w:t>Bibliography</w:t>
          </w:r>
        </w:p>
        <w:sdt>
          <w:sdtPr>
            <w:id w:val="111145805"/>
            <w:bibliography/>
          </w:sdtPr>
          <w:sdtEndPr/>
          <w:sdtContent>
            <w:p w:rsidR="002F0AF2" w:rsidRDefault="007B0ED7" w:rsidP="002F0AF2">
              <w:pPr>
                <w:pStyle w:val="Bibliography"/>
                <w:rPr>
                  <w:noProof/>
                  <w:lang w:val="ka-GE"/>
                </w:rPr>
              </w:pPr>
              <w:r>
                <w:fldChar w:fldCharType="begin"/>
              </w:r>
              <w:r w:rsidR="00644D9F" w:rsidRPr="00F81606">
                <w:rPr>
                  <w:lang w:val="ka-GE"/>
                </w:rPr>
                <w:instrText xml:space="preserve"> BIBLIOGRAPHY </w:instrText>
              </w:r>
              <w:r>
                <w:fldChar w:fldCharType="separate"/>
              </w:r>
              <w:r w:rsidR="002F0AF2">
                <w:rPr>
                  <w:i/>
                  <w:iCs/>
                  <w:noProof/>
                  <w:lang w:val="ka-GE"/>
                </w:rPr>
                <w:t>Global Health Observatory (GHO) data</w:t>
              </w:r>
              <w:r w:rsidR="002F0AF2">
                <w:rPr>
                  <w:noProof/>
                  <w:lang w:val="ka-GE"/>
                </w:rPr>
                <w:t xml:space="preserve">. (2015). Retrieved 2018 </w:t>
              </w:r>
              <w:r w:rsidR="002F0AF2">
                <w:rPr>
                  <w:rFonts w:ascii="Sylfaen" w:hAnsi="Sylfaen" w:cs="Sylfaen"/>
                  <w:noProof/>
                  <w:lang w:val="ka-GE"/>
                </w:rPr>
                <w:t>წლის</w:t>
              </w:r>
              <w:r w:rsidR="002F0AF2">
                <w:rPr>
                  <w:noProof/>
                  <w:lang w:val="ka-GE"/>
                </w:rPr>
                <w:t xml:space="preserve"> 12 Aug from World Health Organization: http://www.who.int/gho/ncd/mortality_morbidity/en/</w:t>
              </w:r>
            </w:p>
            <w:p w:rsidR="002F0AF2" w:rsidRDefault="002F0AF2" w:rsidP="002F0AF2">
              <w:pPr>
                <w:pStyle w:val="Bibliography"/>
                <w:rPr>
                  <w:noProof/>
                  <w:lang w:val="ka-GE"/>
                </w:rPr>
              </w:pPr>
              <w:r>
                <w:rPr>
                  <w:noProof/>
                  <w:lang w:val="ka-GE"/>
                </w:rPr>
                <w:t xml:space="preserve">Kari L. Ring, S. C. (2017). Hereditary Cancers in Gynecology - What Physicians Should Know About Genetic Testing, Screening and Risk Reduction. </w:t>
              </w:r>
              <w:r>
                <w:rPr>
                  <w:i/>
                  <w:iCs/>
                  <w:noProof/>
                  <w:lang w:val="ka-GE"/>
                </w:rPr>
                <w:t>Obstet Gynecol Clin N Am</w:t>
              </w:r>
              <w:r>
                <w:rPr>
                  <w:noProof/>
                  <w:lang w:val="ka-GE"/>
                </w:rPr>
                <w:t xml:space="preserve"> , 155-173.</w:t>
              </w:r>
            </w:p>
            <w:p w:rsidR="002F0AF2" w:rsidRDefault="002F0AF2" w:rsidP="002F0AF2">
              <w:pPr>
                <w:pStyle w:val="Bibliography"/>
                <w:rPr>
                  <w:noProof/>
                  <w:lang w:val="ka-GE"/>
                </w:rPr>
              </w:pPr>
              <w:r>
                <w:rPr>
                  <w:noProof/>
                  <w:lang w:val="ka-GE"/>
                </w:rPr>
                <w:t xml:space="preserve">National Center for Disease Control and Public Health. (2017). </w:t>
              </w:r>
              <w:r>
                <w:rPr>
                  <w:i/>
                  <w:iCs/>
                  <w:noProof/>
                  <w:lang w:val="ka-GE"/>
                </w:rPr>
                <w:t>Health Protection Statistical Directory, Georgia.</w:t>
              </w:r>
              <w:r>
                <w:rPr>
                  <w:noProof/>
                  <w:lang w:val="ka-GE"/>
                </w:rPr>
                <w:t xml:space="preserve"> Tbilisi.</w:t>
              </w:r>
            </w:p>
            <w:p w:rsidR="002F0AF2" w:rsidRDefault="002F0AF2" w:rsidP="002F0AF2">
              <w:pPr>
                <w:pStyle w:val="Bibliography"/>
                <w:rPr>
                  <w:noProof/>
                  <w:lang w:val="ka-GE"/>
                </w:rPr>
              </w:pPr>
              <w:r>
                <w:rPr>
                  <w:noProof/>
                  <w:lang w:val="ka-GE"/>
                </w:rPr>
                <w:t xml:space="preserve">Reid, B. M., Permuth, J. B., &amp; Thomas, A. (2017). Epidemiology of ovarian cancer: a review. </w:t>
              </w:r>
              <w:r>
                <w:rPr>
                  <w:i/>
                  <w:iCs/>
                  <w:noProof/>
                  <w:lang w:val="ka-GE"/>
                </w:rPr>
                <w:t>Cancer Biol Med</w:t>
              </w:r>
              <w:r>
                <w:rPr>
                  <w:noProof/>
                  <w:lang w:val="ka-GE"/>
                </w:rPr>
                <w:t xml:space="preserve"> </w:t>
              </w:r>
              <w:r>
                <w:rPr>
                  <w:i/>
                  <w:iCs/>
                  <w:noProof/>
                  <w:lang w:val="ka-GE"/>
                </w:rPr>
                <w:t>, 14</w:t>
              </w:r>
              <w:r>
                <w:rPr>
                  <w:noProof/>
                  <w:lang w:val="ka-GE"/>
                </w:rPr>
                <w:t xml:space="preserve"> (1), 9–32.</w:t>
              </w:r>
            </w:p>
            <w:p w:rsidR="002F0AF2" w:rsidRDefault="002F0AF2" w:rsidP="002F0AF2">
              <w:pPr>
                <w:pStyle w:val="Bibliography"/>
                <w:rPr>
                  <w:noProof/>
                  <w:lang w:val="ka-GE"/>
                </w:rPr>
              </w:pPr>
              <w:r>
                <w:rPr>
                  <w:noProof/>
                  <w:lang w:val="ka-GE"/>
                </w:rPr>
                <w:t xml:space="preserve">The American College of Obstetricians and Gynecologist. (2014 </w:t>
              </w:r>
              <w:r>
                <w:rPr>
                  <w:rFonts w:ascii="Sylfaen" w:hAnsi="Sylfaen" w:cs="Sylfaen"/>
                  <w:noProof/>
                  <w:lang w:val="ka-GE"/>
                </w:rPr>
                <w:t>წლის</w:t>
              </w:r>
              <w:r>
                <w:rPr>
                  <w:noProof/>
                  <w:lang w:val="ka-GE"/>
                </w:rPr>
                <w:t xml:space="preserve"> Nov). Clinical Management Guidlines for Obstetrician-Gynecologists: Lynch Syndrome. </w:t>
              </w:r>
              <w:r>
                <w:rPr>
                  <w:i/>
                  <w:iCs/>
                  <w:noProof/>
                  <w:lang w:val="ka-GE"/>
                </w:rPr>
                <w:t>Practical Bulletin</w:t>
              </w:r>
              <w:r>
                <w:rPr>
                  <w:noProof/>
                  <w:lang w:val="ka-GE"/>
                </w:rPr>
                <w:t xml:space="preserve"> , 1-3.</w:t>
              </w:r>
            </w:p>
            <w:p w:rsidR="00644D9F" w:rsidRDefault="007B0ED7" w:rsidP="002F0AF2">
              <w:r>
                <w:fldChar w:fldCharType="end"/>
              </w:r>
            </w:p>
          </w:sdtContent>
        </w:sdt>
      </w:sdtContent>
    </w:sdt>
    <w:p w:rsidR="00644D9F" w:rsidRPr="00644D9F" w:rsidRDefault="00644D9F" w:rsidP="008E7D57">
      <w:pPr>
        <w:jc w:val="both"/>
        <w:rPr>
          <w:rFonts w:ascii="Sylfaen" w:hAnsi="Sylfaen"/>
          <w:b/>
          <w:sz w:val="28"/>
        </w:rPr>
      </w:pPr>
    </w:p>
    <w:sectPr w:rsidR="00644D9F" w:rsidRPr="00644D9F" w:rsidSect="009475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0EB" w:rsidRDefault="00CC50EB" w:rsidP="00644D9F">
      <w:pPr>
        <w:spacing w:after="0" w:line="240" w:lineRule="auto"/>
      </w:pPr>
      <w:r>
        <w:separator/>
      </w:r>
    </w:p>
  </w:endnote>
  <w:endnote w:type="continuationSeparator" w:id="0">
    <w:p w:rsidR="00CC50EB" w:rsidRDefault="00CC50EB" w:rsidP="0064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0EB" w:rsidRDefault="00CC50EB" w:rsidP="00644D9F">
      <w:pPr>
        <w:spacing w:after="0" w:line="240" w:lineRule="auto"/>
      </w:pPr>
      <w:r>
        <w:separator/>
      </w:r>
    </w:p>
  </w:footnote>
  <w:footnote w:type="continuationSeparator" w:id="0">
    <w:p w:rsidR="00CC50EB" w:rsidRDefault="00CC50EB" w:rsidP="00644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923C0"/>
    <w:multiLevelType w:val="hybridMultilevel"/>
    <w:tmpl w:val="5D505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96891"/>
    <w:multiLevelType w:val="hybridMultilevel"/>
    <w:tmpl w:val="C3CA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0507F"/>
    <w:multiLevelType w:val="hybridMultilevel"/>
    <w:tmpl w:val="ABE2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610B6"/>
    <w:multiLevelType w:val="hybridMultilevel"/>
    <w:tmpl w:val="80A6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20909"/>
    <w:multiLevelType w:val="hybridMultilevel"/>
    <w:tmpl w:val="AE04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C496E"/>
    <w:multiLevelType w:val="hybridMultilevel"/>
    <w:tmpl w:val="912A9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F3B97"/>
    <w:multiLevelType w:val="hybridMultilevel"/>
    <w:tmpl w:val="B074E1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E604EB"/>
    <w:multiLevelType w:val="hybridMultilevel"/>
    <w:tmpl w:val="A80C58AE"/>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77B770B0"/>
    <w:multiLevelType w:val="hybridMultilevel"/>
    <w:tmpl w:val="FFBE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6"/>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7D57"/>
    <w:rsid w:val="00012CAE"/>
    <w:rsid w:val="00096B21"/>
    <w:rsid w:val="000B607F"/>
    <w:rsid w:val="000C4658"/>
    <w:rsid w:val="001113B1"/>
    <w:rsid w:val="00133D5E"/>
    <w:rsid w:val="00134580"/>
    <w:rsid w:val="001841A7"/>
    <w:rsid w:val="001B6BFB"/>
    <w:rsid w:val="001C6A8F"/>
    <w:rsid w:val="001E7FB4"/>
    <w:rsid w:val="00210947"/>
    <w:rsid w:val="0022452E"/>
    <w:rsid w:val="002360B4"/>
    <w:rsid w:val="0029489F"/>
    <w:rsid w:val="002B2DE9"/>
    <w:rsid w:val="002C3D00"/>
    <w:rsid w:val="002D03ED"/>
    <w:rsid w:val="002F0AF2"/>
    <w:rsid w:val="00301576"/>
    <w:rsid w:val="00313746"/>
    <w:rsid w:val="00325036"/>
    <w:rsid w:val="00330C4E"/>
    <w:rsid w:val="00351A0C"/>
    <w:rsid w:val="0037588F"/>
    <w:rsid w:val="00381F5A"/>
    <w:rsid w:val="003F181A"/>
    <w:rsid w:val="00401965"/>
    <w:rsid w:val="00432999"/>
    <w:rsid w:val="004B21D9"/>
    <w:rsid w:val="004B2BC8"/>
    <w:rsid w:val="004B4CE1"/>
    <w:rsid w:val="004C4DF1"/>
    <w:rsid w:val="004F51D3"/>
    <w:rsid w:val="005302BF"/>
    <w:rsid w:val="00552C38"/>
    <w:rsid w:val="0055784A"/>
    <w:rsid w:val="005B631F"/>
    <w:rsid w:val="005F7E40"/>
    <w:rsid w:val="00630438"/>
    <w:rsid w:val="00644D9F"/>
    <w:rsid w:val="00656C84"/>
    <w:rsid w:val="0068549C"/>
    <w:rsid w:val="006B62CA"/>
    <w:rsid w:val="006C2559"/>
    <w:rsid w:val="006C6839"/>
    <w:rsid w:val="007044B8"/>
    <w:rsid w:val="007313C1"/>
    <w:rsid w:val="007553B3"/>
    <w:rsid w:val="007602F9"/>
    <w:rsid w:val="007B0ED7"/>
    <w:rsid w:val="007C7EED"/>
    <w:rsid w:val="007D1108"/>
    <w:rsid w:val="007E15BE"/>
    <w:rsid w:val="007F0B24"/>
    <w:rsid w:val="00857B81"/>
    <w:rsid w:val="008E7D57"/>
    <w:rsid w:val="008F7B65"/>
    <w:rsid w:val="00947571"/>
    <w:rsid w:val="00982E65"/>
    <w:rsid w:val="009A65E7"/>
    <w:rsid w:val="009C1173"/>
    <w:rsid w:val="009D0AA4"/>
    <w:rsid w:val="009F2D44"/>
    <w:rsid w:val="00A01987"/>
    <w:rsid w:val="00A20F4A"/>
    <w:rsid w:val="00A66041"/>
    <w:rsid w:val="00AA0D0A"/>
    <w:rsid w:val="00AA3189"/>
    <w:rsid w:val="00B1027B"/>
    <w:rsid w:val="00B6283D"/>
    <w:rsid w:val="00B80857"/>
    <w:rsid w:val="00B8519B"/>
    <w:rsid w:val="00B856A9"/>
    <w:rsid w:val="00BC4F5A"/>
    <w:rsid w:val="00BE0CE9"/>
    <w:rsid w:val="00BF5369"/>
    <w:rsid w:val="00C055CE"/>
    <w:rsid w:val="00C5408A"/>
    <w:rsid w:val="00C60617"/>
    <w:rsid w:val="00C7036C"/>
    <w:rsid w:val="00C72982"/>
    <w:rsid w:val="00CC50EB"/>
    <w:rsid w:val="00DA3036"/>
    <w:rsid w:val="00DC0249"/>
    <w:rsid w:val="00DC4C2A"/>
    <w:rsid w:val="00DD343D"/>
    <w:rsid w:val="00DD66A3"/>
    <w:rsid w:val="00DF49A3"/>
    <w:rsid w:val="00DF76A3"/>
    <w:rsid w:val="00E25E54"/>
    <w:rsid w:val="00E33063"/>
    <w:rsid w:val="00E50639"/>
    <w:rsid w:val="00E7130A"/>
    <w:rsid w:val="00E82E3F"/>
    <w:rsid w:val="00F11796"/>
    <w:rsid w:val="00F2305C"/>
    <w:rsid w:val="00F60B50"/>
    <w:rsid w:val="00F729B9"/>
    <w:rsid w:val="00F81606"/>
    <w:rsid w:val="00FD7DD2"/>
    <w:rsid w:val="00FE3E7E"/>
    <w:rsid w:val="00FE6386"/>
    <w:rsid w:val="00FF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8457F-376C-49FA-9E8A-EBD411B7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571"/>
  </w:style>
  <w:style w:type="paragraph" w:styleId="Heading1">
    <w:name w:val="heading 1"/>
    <w:basedOn w:val="Normal"/>
    <w:next w:val="Normal"/>
    <w:link w:val="Heading1Char"/>
    <w:uiPriority w:val="9"/>
    <w:qFormat/>
    <w:rsid w:val="00644D9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AA4"/>
    <w:pPr>
      <w:ind w:left="720"/>
      <w:contextualSpacing/>
    </w:pPr>
  </w:style>
  <w:style w:type="paragraph" w:styleId="EndnoteText">
    <w:name w:val="endnote text"/>
    <w:basedOn w:val="Normal"/>
    <w:link w:val="EndnoteTextChar"/>
    <w:uiPriority w:val="99"/>
    <w:semiHidden/>
    <w:unhideWhenUsed/>
    <w:rsid w:val="00644D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D9F"/>
    <w:rPr>
      <w:sz w:val="20"/>
      <w:szCs w:val="20"/>
    </w:rPr>
  </w:style>
  <w:style w:type="character" w:styleId="EndnoteReference">
    <w:name w:val="endnote reference"/>
    <w:basedOn w:val="DefaultParagraphFont"/>
    <w:uiPriority w:val="99"/>
    <w:semiHidden/>
    <w:unhideWhenUsed/>
    <w:rsid w:val="00644D9F"/>
    <w:rPr>
      <w:vertAlign w:val="superscript"/>
    </w:rPr>
  </w:style>
  <w:style w:type="character" w:customStyle="1" w:styleId="Heading1Char">
    <w:name w:val="Heading 1 Char"/>
    <w:basedOn w:val="DefaultParagraphFont"/>
    <w:link w:val="Heading1"/>
    <w:uiPriority w:val="9"/>
    <w:rsid w:val="00644D9F"/>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644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D9F"/>
    <w:rPr>
      <w:rFonts w:ascii="Tahoma" w:hAnsi="Tahoma" w:cs="Tahoma"/>
      <w:sz w:val="16"/>
      <w:szCs w:val="16"/>
    </w:rPr>
  </w:style>
  <w:style w:type="paragraph" w:styleId="Bibliography">
    <w:name w:val="Bibliography"/>
    <w:basedOn w:val="Normal"/>
    <w:next w:val="Normal"/>
    <w:uiPriority w:val="37"/>
    <w:unhideWhenUsed/>
    <w:rsid w:val="00644D9F"/>
  </w:style>
  <w:style w:type="table" w:styleId="TableGrid">
    <w:name w:val="Table Grid"/>
    <w:basedOn w:val="TableNormal"/>
    <w:uiPriority w:val="59"/>
    <w:rsid w:val="00C540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C5408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C5408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C540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540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C5408A"/>
    <w:pPr>
      <w:autoSpaceDE w:val="0"/>
      <w:autoSpaceDN w:val="0"/>
      <w:adjustRightInd w:val="0"/>
      <w:spacing w:after="0" w:line="240" w:lineRule="auto"/>
    </w:pPr>
    <w:rPr>
      <w:rFonts w:ascii="Sylfaen" w:hAnsi="Sylfaen" w:cs="Sylfaen"/>
      <w:color w:val="000000"/>
      <w:sz w:val="24"/>
      <w:szCs w:val="24"/>
    </w:rPr>
  </w:style>
  <w:style w:type="table" w:customStyle="1" w:styleId="LightList-Accent11">
    <w:name w:val="Light List - Accent 11"/>
    <w:basedOn w:val="TableNormal"/>
    <w:uiPriority w:val="61"/>
    <w:rsid w:val="00C540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1B6BFB"/>
    <w:rPr>
      <w:sz w:val="16"/>
      <w:szCs w:val="16"/>
    </w:rPr>
  </w:style>
  <w:style w:type="paragraph" w:styleId="CommentText">
    <w:name w:val="annotation text"/>
    <w:basedOn w:val="Normal"/>
    <w:link w:val="CommentTextChar"/>
    <w:uiPriority w:val="99"/>
    <w:semiHidden/>
    <w:unhideWhenUsed/>
    <w:rsid w:val="001B6BFB"/>
    <w:pPr>
      <w:spacing w:line="240" w:lineRule="auto"/>
    </w:pPr>
    <w:rPr>
      <w:sz w:val="20"/>
      <w:szCs w:val="20"/>
    </w:rPr>
  </w:style>
  <w:style w:type="character" w:customStyle="1" w:styleId="CommentTextChar">
    <w:name w:val="Comment Text Char"/>
    <w:basedOn w:val="DefaultParagraphFont"/>
    <w:link w:val="CommentText"/>
    <w:uiPriority w:val="99"/>
    <w:semiHidden/>
    <w:rsid w:val="001B6BFB"/>
    <w:rPr>
      <w:sz w:val="20"/>
      <w:szCs w:val="20"/>
    </w:rPr>
  </w:style>
  <w:style w:type="paragraph" w:styleId="CommentSubject">
    <w:name w:val="annotation subject"/>
    <w:basedOn w:val="CommentText"/>
    <w:next w:val="CommentText"/>
    <w:link w:val="CommentSubjectChar"/>
    <w:uiPriority w:val="99"/>
    <w:semiHidden/>
    <w:unhideWhenUsed/>
    <w:rsid w:val="001B6BFB"/>
    <w:rPr>
      <w:b/>
      <w:bCs/>
    </w:rPr>
  </w:style>
  <w:style w:type="character" w:customStyle="1" w:styleId="CommentSubjectChar">
    <w:name w:val="Comment Subject Char"/>
    <w:basedOn w:val="CommentTextChar"/>
    <w:link w:val="CommentSubject"/>
    <w:uiPriority w:val="99"/>
    <w:semiHidden/>
    <w:rsid w:val="001B6BFB"/>
    <w:rPr>
      <w:b/>
      <w:bCs/>
      <w:sz w:val="20"/>
      <w:szCs w:val="20"/>
    </w:rPr>
  </w:style>
  <w:style w:type="paragraph" w:styleId="NoSpacing">
    <w:name w:val="No Spacing"/>
    <w:uiPriority w:val="1"/>
    <w:qFormat/>
    <w:rsid w:val="00C055CE"/>
    <w:pPr>
      <w:spacing w:after="0" w:line="240" w:lineRule="auto"/>
    </w:pPr>
  </w:style>
  <w:style w:type="paragraph" w:styleId="NormalWeb">
    <w:name w:val="Normal (Web)"/>
    <w:basedOn w:val="Normal"/>
    <w:uiPriority w:val="99"/>
    <w:semiHidden/>
    <w:unhideWhenUsed/>
    <w:rsid w:val="00B808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8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155005">
      <w:bodyDiv w:val="1"/>
      <w:marLeft w:val="0"/>
      <w:marRight w:val="0"/>
      <w:marTop w:val="0"/>
      <w:marBottom w:val="0"/>
      <w:divBdr>
        <w:top w:val="none" w:sz="0" w:space="0" w:color="auto"/>
        <w:left w:val="none" w:sz="0" w:space="0" w:color="auto"/>
        <w:bottom w:val="none" w:sz="0" w:space="0" w:color="auto"/>
        <w:right w:val="none" w:sz="0" w:space="0" w:color="auto"/>
      </w:divBdr>
    </w:div>
    <w:div w:id="133506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Rei17</b:Tag>
    <b:SourceType>JournalArticle</b:SourceType>
    <b:Guid>{9FD0DDAF-2B61-4AA1-A700-1883FE6ED5FA}</b:Guid>
    <b:Author>
      <b:Author>
        <b:NameList>
          <b:Person>
            <b:Last>Reid</b:Last>
            <b:First>Brett</b:First>
            <b:Middle>M</b:Middle>
          </b:Person>
          <b:Person>
            <b:Last>Permuth</b:Last>
            <b:First>Jennifer</b:First>
            <b:Middle>B.</b:Middle>
          </b:Person>
          <b:Person>
            <b:Last>Thomas</b:Last>
            <b:First>A.</b:First>
          </b:Person>
        </b:NameList>
      </b:Author>
    </b:Author>
    <b:Title>Epidemiology of ovarian cancer: a review</b:Title>
    <b:Year>2017</b:Year>
    <b:JournalName>Cancer Biol Med</b:JournalName>
    <b:Pages>9–32</b:Pages>
    <b:Month>Feb</b:Month>
    <b:Volume>14</b:Volume>
    <b:Issue>1</b:Issue>
    <b:RefOrder>3</b:RefOrder>
  </b:Source>
  <b:Source>
    <b:Tag>Glo15</b:Tag>
    <b:SourceType>InternetSite</b:SourceType>
    <b:Guid>{E0976F98-DC64-4CCB-B659-2A4820A60BC9}</b:Guid>
    <b:Title>Global Health Observatory (GHO) data</b:Title>
    <b:Year>2015</b:Year>
    <b:InternetSiteTitle>World Health Organization</b:InternetSiteTitle>
    <b:YearAccessed>2018</b:YearAccessed>
    <b:MonthAccessed>Aug</b:MonthAccessed>
    <b:DayAccessed>12</b:DayAccessed>
    <b:URL>http://www.who.int/gho/ncd/mortality_morbidity/en/</b:URL>
    <b:RefOrder>1</b:RefOrder>
  </b:Source>
  <b:Source>
    <b:Tag>Nat17</b:Tag>
    <b:SourceType>Report</b:SourceType>
    <b:Guid>{10711CAC-C265-458F-9F98-A560FC195CAB}</b:Guid>
    <b:Author>
      <b:Author>
        <b:Corporate>National Center for Disease Control and Public Health</b:Corporate>
      </b:Author>
    </b:Author>
    <b:Title>Health Protection Statistical Directory, Georgia</b:Title>
    <b:Year>2017</b:Year>
    <b:City>Tbilisi</b:City>
    <b:RefOrder>2</b:RefOrder>
  </b:Source>
  <b:Source>
    <b:Tag>The14</b:Tag>
    <b:SourceType>JournalArticle</b:SourceType>
    <b:Guid>{08D7B5D6-D51F-46BF-8396-525D98DB5B81}</b:Guid>
    <b:Author>
      <b:Author>
        <b:Corporate>The American College of Obstetricians and Gynecologist</b:Corporate>
      </b:Author>
    </b:Author>
    <b:Title>Clinical Management Guidlines for Obstetrician-Gynecologists: Lynch Syndrome</b:Title>
    <b:Year>2014</b:Year>
    <b:JournalName>Practical Bulletin</b:JournalName>
    <b:Pages>1-3</b:Pages>
    <b:Month>Nov</b:Month>
    <b:RefOrder>5</b:RefOrder>
  </b:Source>
  <b:Source>
    <b:Tag>Kar17</b:Tag>
    <b:SourceType>JournalArticle</b:SourceType>
    <b:Guid>{87BCC0E5-7DD6-4DAB-BBB8-AC9C6F765AAF}</b:Guid>
    <b:Author>
      <b:Author>
        <b:NameList>
          <b:Person>
            <b:Last>Kari L. Ring</b:Last>
            <b:First>Susan</b:First>
            <b:Middle>C. Modesitt</b:Middle>
          </b:Person>
        </b:NameList>
      </b:Author>
    </b:Author>
    <b:Title>Hereditary Cancers in Gynecology - What Physicians Should Know About Genetic Testing, Screening and Risk Reduction</b:Title>
    <b:JournalName>Obstet Gynecol Clin N Am</b:JournalName>
    <b:Year>2017</b:Year>
    <b:Pages>155-173</b:Pages>
    <b:RefOrder>4</b:RefOrder>
  </b:Source>
</b:Sources>
</file>

<file path=customXml/itemProps1.xml><?xml version="1.0" encoding="utf-8"?>
<ds:datastoreItem xmlns:ds="http://schemas.openxmlformats.org/officeDocument/2006/customXml" ds:itemID="{0AE9BE42-8E38-4FD6-BE61-C817C11C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1</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aleksandra</cp:lastModifiedBy>
  <cp:revision>50</cp:revision>
  <dcterms:created xsi:type="dcterms:W3CDTF">2018-08-11T14:46:00Z</dcterms:created>
  <dcterms:modified xsi:type="dcterms:W3CDTF">2018-08-28T19:09:00Z</dcterms:modified>
</cp:coreProperties>
</file>